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BE68C2" w:rsidRDefault="001E0B52" w:rsidP="00B32CC1">
      <w:pPr>
        <w:rPr>
          <w:rFonts w:ascii="Arial" w:hAnsi="Arial" w:cs="Arial"/>
          <w:b/>
        </w:rPr>
      </w:pPr>
      <w:r w:rsidRPr="00BE68C2">
        <w:rPr>
          <w:rFonts w:ascii="Arial" w:hAnsi="Arial" w:cs="Arial"/>
          <w:b/>
        </w:rPr>
        <w:t xml:space="preserve">HIGH ADHERENCE TO SHORT DURATION RESPONSE-GUIDED TREATMENT AMONG PEOPLE WITH RECENT HCV INFECTION: THE ATAHC II AND DARE-C </w:t>
      </w:r>
      <w:r>
        <w:rPr>
          <w:rFonts w:ascii="Arial" w:hAnsi="Arial" w:cs="Arial"/>
          <w:b/>
        </w:rPr>
        <w:t xml:space="preserve">I </w:t>
      </w:r>
      <w:r w:rsidRPr="00BE68C2">
        <w:rPr>
          <w:rFonts w:ascii="Arial" w:hAnsi="Arial" w:cs="Arial"/>
          <w:b/>
        </w:rPr>
        <w:t>STUDIES</w:t>
      </w:r>
    </w:p>
    <w:p w:rsidR="00FC7D92" w:rsidRPr="00BE68C2" w:rsidRDefault="00FC7D92" w:rsidP="00B32CC1">
      <w:pPr>
        <w:rPr>
          <w:rFonts w:ascii="Arial" w:hAnsi="Arial" w:cs="Arial"/>
        </w:rPr>
      </w:pPr>
    </w:p>
    <w:p w:rsidR="00E1285B" w:rsidRPr="009F0DAA" w:rsidRDefault="00E1285B" w:rsidP="00E1285B">
      <w:pPr>
        <w:rPr>
          <w:rFonts w:ascii="Arial" w:hAnsi="Arial" w:cs="Arial"/>
          <w:bCs/>
          <w:vertAlign w:val="superscript"/>
        </w:rPr>
      </w:pPr>
      <w:proofErr w:type="spellStart"/>
      <w:r w:rsidRPr="003B075C">
        <w:rPr>
          <w:rFonts w:ascii="Arial" w:hAnsi="Arial" w:cs="Arial"/>
          <w:bCs/>
          <w:u w:val="single"/>
        </w:rPr>
        <w:t>Martinello</w:t>
      </w:r>
      <w:proofErr w:type="spellEnd"/>
      <w:r w:rsidRPr="003B075C">
        <w:rPr>
          <w:rFonts w:ascii="Arial" w:hAnsi="Arial" w:cs="Arial"/>
          <w:bCs/>
          <w:u w:val="single"/>
        </w:rPr>
        <w:t xml:space="preserve"> M</w:t>
      </w:r>
      <w:r>
        <w:rPr>
          <w:rFonts w:ascii="Arial" w:hAnsi="Arial" w:cs="Arial"/>
          <w:bCs/>
          <w:vertAlign w:val="superscript"/>
        </w:rPr>
        <w:t>1</w:t>
      </w:r>
      <w:r>
        <w:rPr>
          <w:rFonts w:ascii="Arial" w:hAnsi="Arial" w:cs="Arial"/>
          <w:bCs/>
        </w:rPr>
        <w:t xml:space="preserve">, </w:t>
      </w:r>
      <w:proofErr w:type="spellStart"/>
      <w:r>
        <w:rPr>
          <w:rFonts w:ascii="Arial" w:hAnsi="Arial" w:cs="Arial"/>
          <w:bCs/>
        </w:rPr>
        <w:t>Grebely</w:t>
      </w:r>
      <w:proofErr w:type="spellEnd"/>
      <w:r>
        <w:rPr>
          <w:rFonts w:ascii="Arial" w:hAnsi="Arial" w:cs="Arial"/>
          <w:bCs/>
        </w:rPr>
        <w:t xml:space="preserve"> J</w:t>
      </w:r>
      <w:r w:rsidRPr="00302B45">
        <w:rPr>
          <w:rFonts w:ascii="Arial" w:hAnsi="Arial" w:cs="Arial"/>
          <w:bCs/>
          <w:vertAlign w:val="superscript"/>
        </w:rPr>
        <w:t>1</w:t>
      </w:r>
      <w:r>
        <w:rPr>
          <w:rFonts w:ascii="Arial" w:hAnsi="Arial" w:cs="Arial"/>
          <w:bCs/>
        </w:rPr>
        <w:t>, Shaw D</w:t>
      </w:r>
      <w:r w:rsidRPr="00302B45">
        <w:rPr>
          <w:rFonts w:ascii="Arial" w:hAnsi="Arial" w:cs="Arial"/>
          <w:bCs/>
          <w:vertAlign w:val="superscript"/>
        </w:rPr>
        <w:t>2</w:t>
      </w:r>
      <w:r w:rsidRPr="00302B45">
        <w:rPr>
          <w:rFonts w:ascii="Arial" w:hAnsi="Arial" w:cs="Arial"/>
          <w:bCs/>
        </w:rPr>
        <w:t xml:space="preserve">, </w:t>
      </w:r>
      <w:r>
        <w:rPr>
          <w:rFonts w:ascii="Arial" w:hAnsi="Arial" w:cs="Arial"/>
          <w:bCs/>
        </w:rPr>
        <w:t>Hellard M</w:t>
      </w:r>
      <w:r>
        <w:rPr>
          <w:rFonts w:ascii="Arial" w:hAnsi="Arial" w:cs="Arial"/>
          <w:bCs/>
          <w:vertAlign w:val="superscript"/>
        </w:rPr>
        <w:t>3</w:t>
      </w:r>
      <w:r>
        <w:rPr>
          <w:rFonts w:ascii="Arial" w:hAnsi="Arial" w:cs="Arial"/>
          <w:bCs/>
        </w:rPr>
        <w:t>, Petoumenos K</w:t>
      </w:r>
      <w:r>
        <w:rPr>
          <w:rFonts w:ascii="Arial" w:hAnsi="Arial" w:cs="Arial"/>
          <w:bCs/>
          <w:vertAlign w:val="superscript"/>
        </w:rPr>
        <w:t>1</w:t>
      </w:r>
      <w:r>
        <w:rPr>
          <w:rFonts w:ascii="Arial" w:hAnsi="Arial" w:cs="Arial"/>
          <w:bCs/>
        </w:rPr>
        <w:t xml:space="preserve">, </w:t>
      </w:r>
      <w:r w:rsidRPr="0099746B">
        <w:rPr>
          <w:rFonts w:ascii="Arial" w:hAnsi="Arial" w:cs="Arial"/>
          <w:bCs/>
        </w:rPr>
        <w:t>Applegate T</w:t>
      </w:r>
      <w:r>
        <w:rPr>
          <w:rFonts w:ascii="Arial" w:hAnsi="Arial" w:cs="Arial"/>
          <w:bCs/>
          <w:vertAlign w:val="superscript"/>
        </w:rPr>
        <w:t>1</w:t>
      </w:r>
      <w:r w:rsidRPr="0099746B">
        <w:rPr>
          <w:rFonts w:ascii="Arial" w:hAnsi="Arial" w:cs="Arial"/>
          <w:bCs/>
        </w:rPr>
        <w:t xml:space="preserve">, </w:t>
      </w:r>
      <w:r>
        <w:rPr>
          <w:rFonts w:ascii="Arial" w:hAnsi="Arial" w:cs="Arial"/>
          <w:bCs/>
        </w:rPr>
        <w:t>Yeung B</w:t>
      </w:r>
      <w:r>
        <w:rPr>
          <w:rFonts w:ascii="Arial" w:hAnsi="Arial" w:cs="Arial"/>
          <w:bCs/>
          <w:vertAlign w:val="superscript"/>
        </w:rPr>
        <w:t>1</w:t>
      </w:r>
      <w:r>
        <w:rPr>
          <w:rFonts w:ascii="Arial" w:hAnsi="Arial" w:cs="Arial"/>
          <w:bCs/>
        </w:rPr>
        <w:t xml:space="preserve">, </w:t>
      </w:r>
      <w:proofErr w:type="spellStart"/>
      <w:r>
        <w:rPr>
          <w:rFonts w:ascii="Arial" w:hAnsi="Arial" w:cs="Arial"/>
          <w:bCs/>
        </w:rPr>
        <w:t>Maire</w:t>
      </w:r>
      <w:proofErr w:type="spellEnd"/>
      <w:r>
        <w:rPr>
          <w:rFonts w:ascii="Arial" w:hAnsi="Arial" w:cs="Arial"/>
          <w:bCs/>
        </w:rPr>
        <w:t xml:space="preserve"> L</w:t>
      </w:r>
      <w:r>
        <w:rPr>
          <w:rFonts w:ascii="Arial" w:hAnsi="Arial" w:cs="Arial"/>
          <w:bCs/>
          <w:vertAlign w:val="superscript"/>
        </w:rPr>
        <w:t>1</w:t>
      </w:r>
      <w:r>
        <w:rPr>
          <w:rFonts w:ascii="Arial" w:hAnsi="Arial" w:cs="Arial"/>
          <w:bCs/>
        </w:rPr>
        <w:t xml:space="preserve">, </w:t>
      </w:r>
      <w:proofErr w:type="spellStart"/>
      <w:r w:rsidRPr="0099746B">
        <w:rPr>
          <w:rFonts w:ascii="Arial" w:hAnsi="Arial" w:cs="Arial"/>
          <w:bCs/>
        </w:rPr>
        <w:t>Iser</w:t>
      </w:r>
      <w:proofErr w:type="spellEnd"/>
      <w:r w:rsidRPr="0099746B">
        <w:rPr>
          <w:rFonts w:ascii="Arial" w:hAnsi="Arial" w:cs="Arial"/>
          <w:bCs/>
        </w:rPr>
        <w:t xml:space="preserve"> D</w:t>
      </w:r>
      <w:r>
        <w:rPr>
          <w:rFonts w:ascii="Arial" w:hAnsi="Arial" w:cs="Arial"/>
          <w:bCs/>
          <w:vertAlign w:val="superscript"/>
        </w:rPr>
        <w:t>4</w:t>
      </w:r>
      <w:r w:rsidRPr="0099746B">
        <w:rPr>
          <w:rFonts w:ascii="Arial" w:hAnsi="Arial" w:cs="Arial"/>
          <w:bCs/>
        </w:rPr>
        <w:t>, Lloyd A</w:t>
      </w:r>
      <w:r>
        <w:rPr>
          <w:rFonts w:ascii="Arial" w:hAnsi="Arial" w:cs="Arial"/>
          <w:bCs/>
          <w:vertAlign w:val="superscript"/>
        </w:rPr>
        <w:t>5</w:t>
      </w:r>
      <w:r w:rsidRPr="0099746B">
        <w:rPr>
          <w:rFonts w:ascii="Arial" w:hAnsi="Arial" w:cs="Arial"/>
          <w:bCs/>
        </w:rPr>
        <w:t>, Sasadeusz J</w:t>
      </w:r>
      <w:r>
        <w:rPr>
          <w:rFonts w:ascii="Arial" w:hAnsi="Arial" w:cs="Arial"/>
          <w:bCs/>
          <w:vertAlign w:val="superscript"/>
        </w:rPr>
        <w:t>6</w:t>
      </w:r>
      <w:r w:rsidRPr="0099746B">
        <w:rPr>
          <w:rFonts w:ascii="Arial" w:hAnsi="Arial" w:cs="Arial"/>
          <w:bCs/>
        </w:rPr>
        <w:t>,</w:t>
      </w:r>
      <w:r>
        <w:rPr>
          <w:rFonts w:ascii="Arial" w:hAnsi="Arial" w:cs="Arial"/>
          <w:bCs/>
          <w:vertAlign w:val="superscript"/>
        </w:rPr>
        <w:t xml:space="preserve"> </w:t>
      </w:r>
      <w:r>
        <w:rPr>
          <w:rFonts w:ascii="Arial" w:hAnsi="Arial" w:cs="Arial"/>
          <w:bCs/>
        </w:rPr>
        <w:t xml:space="preserve"> </w:t>
      </w:r>
      <w:r w:rsidRPr="009F0DAA">
        <w:rPr>
          <w:rFonts w:ascii="Arial" w:hAnsi="Arial" w:cs="Arial"/>
          <w:bCs/>
        </w:rPr>
        <w:t>Dore</w:t>
      </w:r>
      <w:r>
        <w:rPr>
          <w:rFonts w:ascii="Arial" w:hAnsi="Arial" w:cs="Arial"/>
          <w:bCs/>
        </w:rPr>
        <w:t xml:space="preserve"> GJ</w:t>
      </w:r>
      <w:r>
        <w:rPr>
          <w:rFonts w:ascii="Arial" w:hAnsi="Arial" w:cs="Arial"/>
          <w:bCs/>
          <w:vertAlign w:val="superscript"/>
        </w:rPr>
        <w:t>1</w:t>
      </w:r>
      <w:r>
        <w:rPr>
          <w:rFonts w:ascii="Arial" w:hAnsi="Arial" w:cs="Arial"/>
          <w:bCs/>
        </w:rPr>
        <w:t xml:space="preserve">, </w:t>
      </w:r>
      <w:r w:rsidRPr="009F0DAA">
        <w:rPr>
          <w:rFonts w:ascii="Arial" w:hAnsi="Arial" w:cs="Arial"/>
          <w:bCs/>
        </w:rPr>
        <w:t>Matthews GV</w:t>
      </w:r>
      <w:r>
        <w:rPr>
          <w:rFonts w:ascii="Arial" w:hAnsi="Arial" w:cs="Arial"/>
          <w:bCs/>
          <w:vertAlign w:val="superscript"/>
        </w:rPr>
        <w:t>1</w:t>
      </w:r>
    </w:p>
    <w:p w:rsidR="00E1285B" w:rsidRDefault="00E1285B" w:rsidP="00E1285B">
      <w:pPr>
        <w:rPr>
          <w:rFonts w:ascii="Arial" w:hAnsi="Arial" w:cs="Arial"/>
          <w:bCs/>
          <w:vertAlign w:val="superscript"/>
        </w:rPr>
      </w:pPr>
    </w:p>
    <w:p w:rsidR="00E1285B" w:rsidRPr="0099746B" w:rsidRDefault="00E1285B" w:rsidP="00E1285B">
      <w:pPr>
        <w:rPr>
          <w:rFonts w:ascii="Arial" w:hAnsi="Arial" w:cs="Arial"/>
          <w:bCs/>
        </w:rPr>
      </w:pPr>
      <w:r>
        <w:rPr>
          <w:rFonts w:ascii="Arial" w:hAnsi="Arial" w:cs="Arial"/>
          <w:bCs/>
          <w:vertAlign w:val="superscript"/>
        </w:rPr>
        <w:t>1</w:t>
      </w:r>
      <w:r w:rsidRPr="0099746B">
        <w:rPr>
          <w:rFonts w:ascii="Arial" w:hAnsi="Arial" w:cs="Arial"/>
          <w:bCs/>
        </w:rPr>
        <w:t>Kirby Institute, UNSW, Sydney</w:t>
      </w:r>
      <w:r>
        <w:rPr>
          <w:rFonts w:ascii="Arial" w:hAnsi="Arial" w:cs="Arial"/>
          <w:bCs/>
        </w:rPr>
        <w:t>,</w:t>
      </w:r>
      <w:r w:rsidRPr="0099746B">
        <w:rPr>
          <w:rFonts w:ascii="Arial" w:hAnsi="Arial" w:cs="Arial"/>
          <w:bCs/>
        </w:rPr>
        <w:t xml:space="preserve"> NSW</w:t>
      </w:r>
      <w:r>
        <w:rPr>
          <w:rFonts w:ascii="Arial" w:hAnsi="Arial" w:cs="Arial"/>
          <w:bCs/>
        </w:rPr>
        <w:t xml:space="preserve">, Australia, </w:t>
      </w:r>
      <w:r>
        <w:rPr>
          <w:rFonts w:ascii="Arial" w:hAnsi="Arial" w:cs="Arial"/>
          <w:bCs/>
          <w:vertAlign w:val="superscript"/>
        </w:rPr>
        <w:t>2</w:t>
      </w:r>
      <w:r>
        <w:rPr>
          <w:rFonts w:ascii="Arial" w:hAnsi="Arial" w:cs="Arial"/>
          <w:bCs/>
        </w:rPr>
        <w:t xml:space="preserve">Royal Adelaide Hospital, Adelaide, SA, Australia, </w:t>
      </w:r>
      <w:r>
        <w:rPr>
          <w:rFonts w:ascii="Arial" w:hAnsi="Arial" w:cs="Arial"/>
          <w:bCs/>
          <w:vertAlign w:val="superscript"/>
        </w:rPr>
        <w:t>3</w:t>
      </w:r>
      <w:r w:rsidRPr="0099746B">
        <w:rPr>
          <w:rFonts w:ascii="Arial" w:hAnsi="Arial" w:cs="Arial"/>
          <w:bCs/>
        </w:rPr>
        <w:t>Burnet Institute, Melbourne</w:t>
      </w:r>
      <w:r>
        <w:rPr>
          <w:rFonts w:ascii="Arial" w:hAnsi="Arial" w:cs="Arial"/>
          <w:bCs/>
        </w:rPr>
        <w:t>,</w:t>
      </w:r>
      <w:r w:rsidRPr="0099746B">
        <w:rPr>
          <w:rFonts w:ascii="Arial" w:hAnsi="Arial" w:cs="Arial"/>
          <w:bCs/>
        </w:rPr>
        <w:t xml:space="preserve"> VIC</w:t>
      </w:r>
      <w:r>
        <w:rPr>
          <w:rFonts w:ascii="Arial" w:hAnsi="Arial" w:cs="Arial"/>
          <w:bCs/>
        </w:rPr>
        <w:t xml:space="preserve">, Australia, </w:t>
      </w:r>
      <w:r>
        <w:rPr>
          <w:rFonts w:ascii="Arial" w:hAnsi="Arial" w:cs="Arial"/>
          <w:bCs/>
          <w:vertAlign w:val="superscript"/>
        </w:rPr>
        <w:t>4</w:t>
      </w:r>
      <w:r w:rsidRPr="000079E7">
        <w:rPr>
          <w:rFonts w:ascii="Arial" w:hAnsi="Arial" w:cs="Arial"/>
          <w:bCs/>
        </w:rPr>
        <w:t>St Vincent’s Hospital, Melbourne</w:t>
      </w:r>
      <w:r>
        <w:rPr>
          <w:rFonts w:ascii="Arial" w:hAnsi="Arial" w:cs="Arial"/>
          <w:bCs/>
        </w:rPr>
        <w:t>,</w:t>
      </w:r>
      <w:r w:rsidRPr="000079E7">
        <w:rPr>
          <w:rFonts w:ascii="Arial" w:hAnsi="Arial" w:cs="Arial"/>
          <w:bCs/>
        </w:rPr>
        <w:t xml:space="preserve"> VIC</w:t>
      </w:r>
      <w:r>
        <w:rPr>
          <w:rFonts w:ascii="Arial" w:hAnsi="Arial" w:cs="Arial"/>
          <w:bCs/>
        </w:rPr>
        <w:t xml:space="preserve">, Australia, </w:t>
      </w:r>
      <w:r>
        <w:rPr>
          <w:rFonts w:ascii="Arial" w:hAnsi="Arial" w:cs="Arial"/>
          <w:bCs/>
          <w:vertAlign w:val="superscript"/>
        </w:rPr>
        <w:t>5</w:t>
      </w:r>
      <w:r w:rsidRPr="00742D99">
        <w:rPr>
          <w:rFonts w:ascii="Arial" w:hAnsi="Arial" w:cs="Arial"/>
          <w:bCs/>
        </w:rPr>
        <w:t>UNSW, Sydney</w:t>
      </w:r>
      <w:r>
        <w:rPr>
          <w:rFonts w:ascii="Arial" w:hAnsi="Arial" w:cs="Arial"/>
          <w:bCs/>
        </w:rPr>
        <w:t>,</w:t>
      </w:r>
      <w:r w:rsidRPr="00742D99">
        <w:rPr>
          <w:rFonts w:ascii="Arial" w:hAnsi="Arial" w:cs="Arial"/>
          <w:bCs/>
        </w:rPr>
        <w:t xml:space="preserve"> NSW</w:t>
      </w:r>
      <w:r>
        <w:rPr>
          <w:rFonts w:ascii="Arial" w:hAnsi="Arial" w:cs="Arial"/>
          <w:bCs/>
        </w:rPr>
        <w:t xml:space="preserve">, Australia, </w:t>
      </w:r>
      <w:r>
        <w:rPr>
          <w:rFonts w:ascii="Arial" w:hAnsi="Arial" w:cs="Arial"/>
          <w:bCs/>
          <w:vertAlign w:val="superscript"/>
        </w:rPr>
        <w:t>6</w:t>
      </w:r>
      <w:r w:rsidRPr="0099746B">
        <w:rPr>
          <w:rFonts w:ascii="Arial" w:hAnsi="Arial" w:cs="Arial"/>
          <w:bCs/>
        </w:rPr>
        <w:t>Royal Melbourne Hospital, Melbourne</w:t>
      </w:r>
      <w:r>
        <w:rPr>
          <w:rFonts w:ascii="Arial" w:hAnsi="Arial" w:cs="Arial"/>
          <w:bCs/>
        </w:rPr>
        <w:t>,</w:t>
      </w:r>
      <w:r w:rsidRPr="0099746B">
        <w:rPr>
          <w:rFonts w:ascii="Arial" w:hAnsi="Arial" w:cs="Arial"/>
          <w:bCs/>
        </w:rPr>
        <w:t xml:space="preserve"> VIC</w:t>
      </w:r>
      <w:r>
        <w:rPr>
          <w:rFonts w:ascii="Arial" w:hAnsi="Arial" w:cs="Arial"/>
          <w:bCs/>
        </w:rPr>
        <w:t xml:space="preserve">, Australia, </w:t>
      </w:r>
      <w:r w:rsidRPr="00571D4D">
        <w:rPr>
          <w:rFonts w:ascii="Arial" w:hAnsi="Arial" w:cs="Arial"/>
          <w:bCs/>
          <w:vertAlign w:val="superscript"/>
        </w:rPr>
        <w:t>7</w:t>
      </w:r>
      <w:r>
        <w:rPr>
          <w:rFonts w:ascii="Arial" w:hAnsi="Arial" w:cs="Arial"/>
          <w:bCs/>
        </w:rPr>
        <w:t>Royal Prince Alfred Hospital, Sydney, NSW, Australia.</w:t>
      </w:r>
    </w:p>
    <w:p w:rsidR="00435EA5" w:rsidRPr="00BE68C2" w:rsidRDefault="00435EA5">
      <w:pPr>
        <w:rPr>
          <w:rFonts w:ascii="Arial" w:hAnsi="Arial" w:cs="Arial"/>
        </w:rPr>
      </w:pPr>
    </w:p>
    <w:p w:rsidR="00BE68C2" w:rsidRDefault="00435EA5" w:rsidP="00302B45">
      <w:pPr>
        <w:jc w:val="both"/>
        <w:rPr>
          <w:rFonts w:ascii="Arial" w:hAnsi="Arial" w:cs="Arial"/>
        </w:rPr>
      </w:pPr>
      <w:r w:rsidRPr="00BE68C2">
        <w:rPr>
          <w:rFonts w:ascii="Arial" w:hAnsi="Arial" w:cs="Arial"/>
          <w:b/>
        </w:rPr>
        <w:t>Introduction:</w:t>
      </w:r>
      <w:r w:rsidR="00705AA8" w:rsidRPr="00BE68C2">
        <w:rPr>
          <w:rFonts w:ascii="Arial" w:hAnsi="Arial" w:cs="Arial"/>
          <w:b/>
        </w:rPr>
        <w:t xml:space="preserve"> </w:t>
      </w:r>
      <w:r w:rsidR="00BE68C2">
        <w:rPr>
          <w:rFonts w:ascii="Arial" w:hAnsi="Arial" w:cs="Arial"/>
        </w:rPr>
        <w:t>A</w:t>
      </w:r>
      <w:r w:rsidR="00BE68C2" w:rsidRPr="00BE68C2">
        <w:rPr>
          <w:rFonts w:ascii="Arial" w:hAnsi="Arial" w:cs="Arial"/>
        </w:rPr>
        <w:t>dherence</w:t>
      </w:r>
      <w:r w:rsidR="00D3187C">
        <w:rPr>
          <w:rFonts w:ascii="Arial" w:hAnsi="Arial" w:cs="Arial"/>
        </w:rPr>
        <w:t xml:space="preserve"> </w:t>
      </w:r>
      <w:r w:rsidR="00BE68C2">
        <w:rPr>
          <w:rFonts w:ascii="Arial" w:hAnsi="Arial" w:cs="Arial"/>
        </w:rPr>
        <w:t>is associated with</w:t>
      </w:r>
      <w:r w:rsidR="00BE68C2" w:rsidRPr="00BE68C2">
        <w:rPr>
          <w:rFonts w:ascii="Arial" w:hAnsi="Arial" w:cs="Arial"/>
        </w:rPr>
        <w:t xml:space="preserve"> </w:t>
      </w:r>
      <w:r w:rsidR="00BE68C2">
        <w:rPr>
          <w:rFonts w:ascii="Arial" w:hAnsi="Arial" w:cs="Arial"/>
        </w:rPr>
        <w:t>s</w:t>
      </w:r>
      <w:r w:rsidR="00BE68C2" w:rsidRPr="00BE68C2">
        <w:rPr>
          <w:rFonts w:ascii="Arial" w:hAnsi="Arial" w:cs="Arial"/>
        </w:rPr>
        <w:t xml:space="preserve">ustained </w:t>
      </w:r>
      <w:proofErr w:type="spellStart"/>
      <w:r w:rsidR="00BE68C2" w:rsidRPr="00BE68C2">
        <w:rPr>
          <w:rFonts w:ascii="Arial" w:hAnsi="Arial" w:cs="Arial"/>
        </w:rPr>
        <w:t>virological</w:t>
      </w:r>
      <w:proofErr w:type="spellEnd"/>
      <w:r w:rsidR="00BE68C2" w:rsidRPr="00BE68C2">
        <w:rPr>
          <w:rFonts w:ascii="Arial" w:hAnsi="Arial" w:cs="Arial"/>
        </w:rPr>
        <w:t xml:space="preserve"> response (SVR). </w:t>
      </w:r>
      <w:r w:rsidR="00D411A9">
        <w:rPr>
          <w:rFonts w:ascii="Arial" w:hAnsi="Arial" w:cs="Arial"/>
        </w:rPr>
        <w:t>This study</w:t>
      </w:r>
      <w:r w:rsidR="00BE68C2" w:rsidRPr="00BE68C2">
        <w:rPr>
          <w:rFonts w:ascii="Arial" w:hAnsi="Arial" w:cs="Arial"/>
        </w:rPr>
        <w:t xml:space="preserve"> assess</w:t>
      </w:r>
      <w:r w:rsidR="00D411A9">
        <w:rPr>
          <w:rFonts w:ascii="Arial" w:hAnsi="Arial" w:cs="Arial"/>
        </w:rPr>
        <w:t>ed</w:t>
      </w:r>
      <w:r w:rsidR="00BE68C2" w:rsidRPr="00BE68C2">
        <w:rPr>
          <w:rFonts w:ascii="Arial" w:hAnsi="Arial" w:cs="Arial"/>
        </w:rPr>
        <w:t xml:space="preserve"> </w:t>
      </w:r>
      <w:r w:rsidR="00BE68C2">
        <w:rPr>
          <w:rFonts w:ascii="Arial" w:hAnsi="Arial" w:cs="Arial"/>
        </w:rPr>
        <w:t xml:space="preserve">adherence and completion of </w:t>
      </w:r>
      <w:r w:rsidR="009F3768">
        <w:rPr>
          <w:rFonts w:ascii="Arial" w:hAnsi="Arial" w:cs="Arial"/>
        </w:rPr>
        <w:t xml:space="preserve">response-guided </w:t>
      </w:r>
      <w:proofErr w:type="spellStart"/>
      <w:r w:rsidR="00BE68C2" w:rsidRPr="00BE68C2">
        <w:rPr>
          <w:rFonts w:ascii="Arial" w:hAnsi="Arial" w:cs="Arial"/>
        </w:rPr>
        <w:t>pegylated</w:t>
      </w:r>
      <w:proofErr w:type="spellEnd"/>
      <w:r w:rsidR="00BE68C2" w:rsidRPr="00BE68C2">
        <w:rPr>
          <w:rFonts w:ascii="Arial" w:hAnsi="Arial" w:cs="Arial"/>
        </w:rPr>
        <w:t xml:space="preserve"> interferon</w:t>
      </w:r>
      <w:r w:rsidR="009F3768">
        <w:rPr>
          <w:rFonts w:ascii="Arial" w:hAnsi="Arial" w:cs="Arial"/>
        </w:rPr>
        <w:t xml:space="preserve"> alfa-2a</w:t>
      </w:r>
      <w:r w:rsidR="00BE68C2" w:rsidRPr="00BE68C2">
        <w:rPr>
          <w:rFonts w:ascii="Arial" w:hAnsi="Arial" w:cs="Arial"/>
        </w:rPr>
        <w:t xml:space="preserve"> (PEG-IFN)</w:t>
      </w:r>
      <w:r w:rsidR="00BE68C2">
        <w:rPr>
          <w:rFonts w:ascii="Arial" w:hAnsi="Arial" w:cs="Arial"/>
        </w:rPr>
        <w:t xml:space="preserve"> and ribavirin (RBV) therapy among people </w:t>
      </w:r>
      <w:r w:rsidR="009F3768">
        <w:rPr>
          <w:rFonts w:ascii="Arial" w:hAnsi="Arial" w:cs="Arial"/>
        </w:rPr>
        <w:t>with recent HCV infection</w:t>
      </w:r>
      <w:r w:rsidR="00BE68C2">
        <w:rPr>
          <w:rFonts w:ascii="Arial" w:hAnsi="Arial" w:cs="Arial"/>
        </w:rPr>
        <w:t xml:space="preserve">. </w:t>
      </w:r>
    </w:p>
    <w:p w:rsidR="00435EA5" w:rsidRPr="00BE68C2" w:rsidRDefault="00435EA5" w:rsidP="00302B45">
      <w:pPr>
        <w:jc w:val="both"/>
        <w:rPr>
          <w:rFonts w:ascii="Arial" w:hAnsi="Arial" w:cs="Arial"/>
        </w:rPr>
      </w:pPr>
    </w:p>
    <w:p w:rsidR="00BE68C2" w:rsidRPr="00BE68C2" w:rsidRDefault="00435EA5" w:rsidP="00302B45">
      <w:pPr>
        <w:jc w:val="both"/>
        <w:rPr>
          <w:rFonts w:ascii="Arial" w:hAnsi="Arial" w:cs="Arial"/>
        </w:rPr>
      </w:pPr>
      <w:r w:rsidRPr="00BE68C2">
        <w:rPr>
          <w:rFonts w:ascii="Arial" w:hAnsi="Arial" w:cs="Arial"/>
          <w:b/>
        </w:rPr>
        <w:t>Methods:</w:t>
      </w:r>
      <w:r w:rsidR="00BE68C2">
        <w:rPr>
          <w:rFonts w:ascii="Arial" w:hAnsi="Arial" w:cs="Arial"/>
          <w:b/>
        </w:rPr>
        <w:t xml:space="preserve"> </w:t>
      </w:r>
      <w:r w:rsidR="00BE68C2" w:rsidRPr="00BE68C2">
        <w:rPr>
          <w:rFonts w:ascii="Arial" w:hAnsi="Arial" w:cs="Arial"/>
        </w:rPr>
        <w:t xml:space="preserve">Participants enrolled in </w:t>
      </w:r>
      <w:r w:rsidR="00FE3F61">
        <w:rPr>
          <w:rFonts w:ascii="Arial" w:hAnsi="Arial" w:cs="Arial"/>
        </w:rPr>
        <w:t xml:space="preserve">the </w:t>
      </w:r>
      <w:r w:rsidR="00BE68C2" w:rsidRPr="00BE68C2">
        <w:rPr>
          <w:rFonts w:ascii="Arial" w:hAnsi="Arial" w:cs="Arial"/>
        </w:rPr>
        <w:t xml:space="preserve">ATAHC II </w:t>
      </w:r>
      <w:r w:rsidR="00FE3F61">
        <w:rPr>
          <w:rFonts w:ascii="Arial" w:hAnsi="Arial" w:cs="Arial"/>
        </w:rPr>
        <w:t>(</w:t>
      </w:r>
      <w:r w:rsidR="00BE68C2" w:rsidRPr="00BE68C2">
        <w:rPr>
          <w:rFonts w:ascii="Arial" w:hAnsi="Arial" w:cs="Arial"/>
        </w:rPr>
        <w:t>PEG-IFN</w:t>
      </w:r>
      <w:r w:rsidR="00FE3F61">
        <w:rPr>
          <w:rFonts w:ascii="Arial" w:hAnsi="Arial" w:cs="Arial"/>
        </w:rPr>
        <w:t xml:space="preserve"> </w:t>
      </w:r>
      <w:r w:rsidR="00FE3F61" w:rsidRPr="00BE68C2">
        <w:rPr>
          <w:rFonts w:ascii="Arial" w:hAnsi="Arial" w:cs="Arial"/>
        </w:rPr>
        <w:t xml:space="preserve">+/- </w:t>
      </w:r>
      <w:r w:rsidR="00BE68C2" w:rsidRPr="00BE68C2">
        <w:rPr>
          <w:rFonts w:ascii="Arial" w:hAnsi="Arial" w:cs="Arial"/>
        </w:rPr>
        <w:t>RBV</w:t>
      </w:r>
      <w:r w:rsidR="00FE3F61">
        <w:rPr>
          <w:rFonts w:ascii="Arial" w:hAnsi="Arial" w:cs="Arial"/>
        </w:rPr>
        <w:t xml:space="preserve">) and </w:t>
      </w:r>
      <w:r w:rsidR="00BE68C2" w:rsidRPr="00BE68C2">
        <w:rPr>
          <w:rFonts w:ascii="Arial" w:hAnsi="Arial" w:cs="Arial"/>
        </w:rPr>
        <w:t>DARE</w:t>
      </w:r>
      <w:r w:rsidR="006E4D24">
        <w:rPr>
          <w:rFonts w:ascii="Arial" w:hAnsi="Arial" w:cs="Arial"/>
        </w:rPr>
        <w:t>-</w:t>
      </w:r>
      <w:r w:rsidR="00BE68C2" w:rsidRPr="00BE68C2">
        <w:rPr>
          <w:rFonts w:ascii="Arial" w:hAnsi="Arial" w:cs="Arial"/>
        </w:rPr>
        <w:t>C I</w:t>
      </w:r>
      <w:r w:rsidR="00FE3F61">
        <w:rPr>
          <w:rFonts w:ascii="Arial" w:hAnsi="Arial" w:cs="Arial"/>
        </w:rPr>
        <w:t xml:space="preserve"> </w:t>
      </w:r>
      <w:r w:rsidR="00302B45">
        <w:rPr>
          <w:rFonts w:ascii="Arial" w:hAnsi="Arial" w:cs="Arial"/>
        </w:rPr>
        <w:t>[</w:t>
      </w:r>
      <w:r w:rsidR="00BE68C2" w:rsidRPr="00BE68C2">
        <w:rPr>
          <w:rFonts w:ascii="Arial" w:hAnsi="Arial" w:cs="Arial"/>
        </w:rPr>
        <w:t>PEG-IFN</w:t>
      </w:r>
      <w:r w:rsidR="00FE3F61">
        <w:rPr>
          <w:rFonts w:ascii="Arial" w:hAnsi="Arial" w:cs="Arial"/>
        </w:rPr>
        <w:t>/</w:t>
      </w:r>
      <w:r w:rsidR="00BE68C2" w:rsidRPr="00BE68C2">
        <w:rPr>
          <w:rFonts w:ascii="Arial" w:hAnsi="Arial" w:cs="Arial"/>
        </w:rPr>
        <w:t>RBV</w:t>
      </w:r>
      <w:r w:rsidR="00FE3F61">
        <w:rPr>
          <w:rFonts w:ascii="Arial" w:hAnsi="Arial" w:cs="Arial"/>
        </w:rPr>
        <w:t>/</w:t>
      </w:r>
      <w:proofErr w:type="spellStart"/>
      <w:r w:rsidR="00BE68C2" w:rsidRPr="00BE68C2">
        <w:rPr>
          <w:rFonts w:ascii="Arial" w:hAnsi="Arial" w:cs="Arial"/>
        </w:rPr>
        <w:t>telaprevir</w:t>
      </w:r>
      <w:proofErr w:type="spellEnd"/>
      <w:r w:rsidR="00302B45">
        <w:rPr>
          <w:rFonts w:ascii="Arial" w:hAnsi="Arial" w:cs="Arial"/>
        </w:rPr>
        <w:t xml:space="preserve"> (TVR)]</w:t>
      </w:r>
      <w:r w:rsidR="00FE3F61">
        <w:rPr>
          <w:rFonts w:ascii="Arial" w:hAnsi="Arial" w:cs="Arial"/>
        </w:rPr>
        <w:t xml:space="preserve"> studies were included</w:t>
      </w:r>
      <w:r w:rsidR="00BE68C2" w:rsidRPr="00BE68C2">
        <w:rPr>
          <w:rFonts w:ascii="Arial" w:hAnsi="Arial" w:cs="Arial"/>
        </w:rPr>
        <w:t>.</w:t>
      </w:r>
      <w:r w:rsidR="00FE3F61">
        <w:rPr>
          <w:rFonts w:ascii="Arial" w:hAnsi="Arial" w:cs="Arial"/>
        </w:rPr>
        <w:t xml:space="preserve"> </w:t>
      </w:r>
      <w:r w:rsidR="00BE68C2" w:rsidRPr="00BE68C2">
        <w:rPr>
          <w:rFonts w:ascii="Arial" w:hAnsi="Arial" w:cs="Arial"/>
        </w:rPr>
        <w:t>Treatment duration was response-guided (ATAHC II: 8, 16, 24 or 48 weeks; DARE</w:t>
      </w:r>
      <w:r w:rsidR="00FE3F61">
        <w:rPr>
          <w:rFonts w:ascii="Arial" w:hAnsi="Arial" w:cs="Arial"/>
        </w:rPr>
        <w:t>-</w:t>
      </w:r>
      <w:r w:rsidR="00BE68C2" w:rsidRPr="00BE68C2">
        <w:rPr>
          <w:rFonts w:ascii="Arial" w:hAnsi="Arial" w:cs="Arial"/>
        </w:rPr>
        <w:t xml:space="preserve">C I: 8, 12 or 24 weeks). </w:t>
      </w:r>
      <w:r w:rsidR="009F3768">
        <w:rPr>
          <w:rFonts w:ascii="Arial" w:hAnsi="Arial" w:cs="Arial"/>
        </w:rPr>
        <w:t xml:space="preserve">PEG-IFN and RBV adherence </w:t>
      </w:r>
      <w:r w:rsidR="00FE3F61">
        <w:rPr>
          <w:rFonts w:ascii="Arial" w:hAnsi="Arial" w:cs="Arial"/>
        </w:rPr>
        <w:t>were</w:t>
      </w:r>
      <w:r w:rsidR="009F3768">
        <w:rPr>
          <w:rFonts w:ascii="Arial" w:hAnsi="Arial" w:cs="Arial"/>
        </w:rPr>
        <w:t xml:space="preserve"> assessed by </w:t>
      </w:r>
      <w:r w:rsidR="00BE68C2" w:rsidRPr="00BE68C2">
        <w:rPr>
          <w:rFonts w:ascii="Arial" w:hAnsi="Arial" w:cs="Arial"/>
        </w:rPr>
        <w:t xml:space="preserve">80/80 </w:t>
      </w:r>
      <w:r w:rsidR="00FE3F61">
        <w:rPr>
          <w:rFonts w:ascii="Arial" w:hAnsi="Arial" w:cs="Arial"/>
          <w:color w:val="000000"/>
          <w:shd w:val="clear" w:color="auto" w:fill="FFFFFF"/>
        </w:rPr>
        <w:t xml:space="preserve">(≥80% of </w:t>
      </w:r>
      <w:r w:rsidR="00BE68C2" w:rsidRPr="00BE68C2">
        <w:rPr>
          <w:rFonts w:ascii="Arial" w:hAnsi="Arial" w:cs="Arial"/>
          <w:color w:val="000000"/>
          <w:shd w:val="clear" w:color="auto" w:fill="FFFFFF"/>
        </w:rPr>
        <w:t>doses, ≥80% treatment duratio</w:t>
      </w:r>
      <w:bookmarkStart w:id="0" w:name="_GoBack"/>
      <w:bookmarkEnd w:id="0"/>
      <w:r w:rsidR="00BE68C2" w:rsidRPr="00BE68C2">
        <w:rPr>
          <w:rFonts w:ascii="Arial" w:hAnsi="Arial" w:cs="Arial"/>
          <w:color w:val="000000"/>
          <w:shd w:val="clear" w:color="auto" w:fill="FFFFFF"/>
        </w:rPr>
        <w:t xml:space="preserve">n) </w:t>
      </w:r>
      <w:r w:rsidR="00BE68C2" w:rsidRPr="00BE68C2">
        <w:rPr>
          <w:rFonts w:ascii="Arial" w:hAnsi="Arial" w:cs="Arial"/>
        </w:rPr>
        <w:t xml:space="preserve">and 100/100 </w:t>
      </w:r>
      <w:r w:rsidR="009F3768">
        <w:rPr>
          <w:rFonts w:ascii="Arial" w:hAnsi="Arial" w:cs="Arial"/>
        </w:rPr>
        <w:t xml:space="preserve">adherence, </w:t>
      </w:r>
      <w:r w:rsidR="00BE68C2" w:rsidRPr="00BE68C2">
        <w:rPr>
          <w:rFonts w:ascii="Arial" w:hAnsi="Arial" w:cs="Arial"/>
        </w:rPr>
        <w:t>on-treatment adherence and treatment completion</w:t>
      </w:r>
      <w:r w:rsidR="009F3768">
        <w:rPr>
          <w:rFonts w:ascii="Arial" w:hAnsi="Arial" w:cs="Arial"/>
        </w:rPr>
        <w:t xml:space="preserve">. </w:t>
      </w:r>
      <w:r w:rsidR="00BE68C2" w:rsidRPr="00BE68C2">
        <w:rPr>
          <w:rFonts w:ascii="Arial" w:hAnsi="Arial" w:cs="Arial"/>
        </w:rPr>
        <w:t>Logistic regression analyses were used to identify predictors of adherence.</w:t>
      </w:r>
      <w:r w:rsidR="00BE68C2">
        <w:rPr>
          <w:rFonts w:ascii="Arial" w:hAnsi="Arial" w:cs="Arial"/>
        </w:rPr>
        <w:t xml:space="preserve"> </w:t>
      </w:r>
      <w:r w:rsidR="00BE68C2" w:rsidRPr="00BE68C2">
        <w:rPr>
          <w:rFonts w:ascii="Arial" w:hAnsi="Arial" w:cs="Arial"/>
        </w:rPr>
        <w:t xml:space="preserve">PEG-IFN 80/80 adherence and treatment completion were compared with ATAHC I (n=109, PEG-IFN +/- RBV for 24 weeks).  </w:t>
      </w:r>
    </w:p>
    <w:p w:rsidR="00BE68C2" w:rsidRPr="00BE68C2" w:rsidRDefault="00BE68C2" w:rsidP="00302B45">
      <w:pPr>
        <w:jc w:val="both"/>
        <w:rPr>
          <w:rFonts w:ascii="Arial" w:hAnsi="Arial" w:cs="Arial"/>
          <w:b/>
        </w:rPr>
      </w:pPr>
    </w:p>
    <w:p w:rsidR="00BE68C2" w:rsidRPr="00BE68C2" w:rsidRDefault="00435EA5" w:rsidP="00302B45">
      <w:pPr>
        <w:jc w:val="both"/>
        <w:rPr>
          <w:rFonts w:ascii="Arial" w:hAnsi="Arial" w:cs="Arial"/>
        </w:rPr>
      </w:pPr>
      <w:r w:rsidRPr="00BE68C2">
        <w:rPr>
          <w:rFonts w:ascii="Arial" w:hAnsi="Arial" w:cs="Arial"/>
          <w:b/>
        </w:rPr>
        <w:t>Results:</w:t>
      </w:r>
      <w:r w:rsidR="00705AA8" w:rsidRPr="00BE68C2">
        <w:rPr>
          <w:rFonts w:ascii="Arial" w:hAnsi="Arial" w:cs="Arial"/>
          <w:b/>
        </w:rPr>
        <w:t xml:space="preserve"> </w:t>
      </w:r>
      <w:r w:rsidR="00BE68C2" w:rsidRPr="00BE68C2">
        <w:rPr>
          <w:rFonts w:ascii="Arial" w:hAnsi="Arial" w:cs="Arial"/>
        </w:rPr>
        <w:t>66 participants (</w:t>
      </w:r>
      <w:r w:rsidR="00AE6E2B">
        <w:rPr>
          <w:rFonts w:ascii="Arial" w:hAnsi="Arial" w:cs="Arial"/>
        </w:rPr>
        <w:t xml:space="preserve">94% male, </w:t>
      </w:r>
      <w:r w:rsidR="006E4D24">
        <w:rPr>
          <w:rFonts w:ascii="Arial" w:hAnsi="Arial" w:cs="Arial"/>
        </w:rPr>
        <w:t xml:space="preserve">72% </w:t>
      </w:r>
      <w:r w:rsidR="00BE68C2" w:rsidRPr="00BE68C2">
        <w:rPr>
          <w:rFonts w:ascii="Arial" w:hAnsi="Arial" w:cs="Arial"/>
        </w:rPr>
        <w:t>HIV</w:t>
      </w:r>
      <w:r w:rsidR="006E4D24">
        <w:rPr>
          <w:rFonts w:ascii="Arial" w:hAnsi="Arial" w:cs="Arial"/>
        </w:rPr>
        <w:t>;</w:t>
      </w:r>
      <w:r w:rsidR="00D3187C">
        <w:rPr>
          <w:rFonts w:ascii="Arial" w:hAnsi="Arial" w:cs="Arial"/>
        </w:rPr>
        <w:t xml:space="preserve"> 59% </w:t>
      </w:r>
      <w:r w:rsidR="00D411A9">
        <w:rPr>
          <w:rFonts w:ascii="Arial" w:hAnsi="Arial" w:cs="Arial"/>
        </w:rPr>
        <w:t>had injected drugs ever</w:t>
      </w:r>
      <w:r w:rsidR="00BE68C2" w:rsidRPr="00BE68C2">
        <w:rPr>
          <w:rFonts w:ascii="Arial" w:hAnsi="Arial" w:cs="Arial"/>
        </w:rPr>
        <w:t>) received treatment (PEG-IFN, n=1; PEG-IFN</w:t>
      </w:r>
      <w:r w:rsidR="006E4D24">
        <w:rPr>
          <w:rFonts w:ascii="Arial" w:hAnsi="Arial" w:cs="Arial"/>
        </w:rPr>
        <w:t>/</w:t>
      </w:r>
      <w:r w:rsidR="00BE68C2" w:rsidRPr="00BE68C2">
        <w:rPr>
          <w:rFonts w:ascii="Arial" w:hAnsi="Arial" w:cs="Arial"/>
        </w:rPr>
        <w:t>RBV, n=51; PEG-IFN</w:t>
      </w:r>
      <w:r w:rsidR="006E4D24">
        <w:rPr>
          <w:rFonts w:ascii="Arial" w:hAnsi="Arial" w:cs="Arial"/>
        </w:rPr>
        <w:t>/</w:t>
      </w:r>
      <w:r w:rsidR="00BE68C2" w:rsidRPr="00BE68C2">
        <w:rPr>
          <w:rFonts w:ascii="Arial" w:hAnsi="Arial" w:cs="Arial"/>
        </w:rPr>
        <w:t>RBV</w:t>
      </w:r>
      <w:r w:rsidR="006E4D24">
        <w:rPr>
          <w:rFonts w:ascii="Arial" w:hAnsi="Arial" w:cs="Arial"/>
        </w:rPr>
        <w:t>/</w:t>
      </w:r>
      <w:r w:rsidR="00BE68C2" w:rsidRPr="00BE68C2">
        <w:rPr>
          <w:rFonts w:ascii="Arial" w:hAnsi="Arial" w:cs="Arial"/>
        </w:rPr>
        <w:t xml:space="preserve">TVR, n=14). Median </w:t>
      </w:r>
      <w:r w:rsidR="00AE6E2B">
        <w:rPr>
          <w:rFonts w:ascii="Arial" w:hAnsi="Arial" w:cs="Arial"/>
        </w:rPr>
        <w:t xml:space="preserve">treatment duration </w:t>
      </w:r>
      <w:r w:rsidR="00BE68C2" w:rsidRPr="00BE68C2">
        <w:rPr>
          <w:rFonts w:ascii="Arial" w:hAnsi="Arial" w:cs="Arial"/>
        </w:rPr>
        <w:t xml:space="preserve">was 14 </w:t>
      </w:r>
      <w:r w:rsidR="00AE6E2B">
        <w:rPr>
          <w:rFonts w:ascii="Arial" w:hAnsi="Arial" w:cs="Arial"/>
        </w:rPr>
        <w:t xml:space="preserve">weeks </w:t>
      </w:r>
      <w:r w:rsidR="00BE68C2" w:rsidRPr="00BE68C2">
        <w:rPr>
          <w:rFonts w:ascii="Arial" w:hAnsi="Arial" w:cs="Arial"/>
        </w:rPr>
        <w:t>(IQR 8-16). Early treatment discontinuation occurred in 18% (</w:t>
      </w:r>
      <w:proofErr w:type="spellStart"/>
      <w:r w:rsidR="00BE68C2" w:rsidRPr="00BE68C2">
        <w:rPr>
          <w:rFonts w:ascii="Arial" w:hAnsi="Arial" w:cs="Arial"/>
        </w:rPr>
        <w:t>virological</w:t>
      </w:r>
      <w:proofErr w:type="spellEnd"/>
      <w:r w:rsidR="00BE68C2" w:rsidRPr="00BE68C2">
        <w:rPr>
          <w:rFonts w:ascii="Arial" w:hAnsi="Arial" w:cs="Arial"/>
        </w:rPr>
        <w:t xml:space="preserve"> failure</w:t>
      </w:r>
      <w:r w:rsidR="006E4D24">
        <w:rPr>
          <w:rFonts w:ascii="Arial" w:hAnsi="Arial" w:cs="Arial"/>
        </w:rPr>
        <w:t>,</w:t>
      </w:r>
      <w:r w:rsidR="00BE68C2" w:rsidRPr="00BE68C2">
        <w:rPr>
          <w:rFonts w:ascii="Arial" w:hAnsi="Arial" w:cs="Arial"/>
        </w:rPr>
        <w:t xml:space="preserve"> 11% [n=7]</w:t>
      </w:r>
      <w:r w:rsidR="006E4D24">
        <w:rPr>
          <w:rFonts w:ascii="Arial" w:hAnsi="Arial" w:cs="Arial"/>
        </w:rPr>
        <w:t>;</w:t>
      </w:r>
      <w:r w:rsidR="00BE68C2" w:rsidRPr="00BE68C2">
        <w:rPr>
          <w:rFonts w:ascii="Arial" w:hAnsi="Arial" w:cs="Arial"/>
        </w:rPr>
        <w:t xml:space="preserve"> medical contraindication to continuation</w:t>
      </w:r>
      <w:r w:rsidR="006E4D24">
        <w:rPr>
          <w:rFonts w:ascii="Arial" w:hAnsi="Arial" w:cs="Arial"/>
        </w:rPr>
        <w:t>,</w:t>
      </w:r>
      <w:r w:rsidR="00BE68C2" w:rsidRPr="00BE68C2">
        <w:rPr>
          <w:rFonts w:ascii="Arial" w:hAnsi="Arial" w:cs="Arial"/>
        </w:rPr>
        <w:t xml:space="preserve"> 1% [n=1], clinician decision to cease</w:t>
      </w:r>
      <w:r w:rsidR="006E4D24">
        <w:rPr>
          <w:rFonts w:ascii="Arial" w:hAnsi="Arial" w:cs="Arial"/>
        </w:rPr>
        <w:t>,</w:t>
      </w:r>
      <w:r w:rsidR="00BE68C2" w:rsidRPr="00BE68C2">
        <w:rPr>
          <w:rFonts w:ascii="Arial" w:hAnsi="Arial" w:cs="Arial"/>
        </w:rPr>
        <w:t xml:space="preserve"> 5% [n=3]</w:t>
      </w:r>
      <w:r w:rsidR="006E4D24">
        <w:rPr>
          <w:rFonts w:ascii="Arial" w:hAnsi="Arial" w:cs="Arial"/>
        </w:rPr>
        <w:t>;</w:t>
      </w:r>
      <w:r w:rsidR="00BE68C2" w:rsidRPr="00BE68C2">
        <w:rPr>
          <w:rFonts w:ascii="Arial" w:hAnsi="Arial" w:cs="Arial"/>
        </w:rPr>
        <w:t xml:space="preserve"> participant unwilling to continue</w:t>
      </w:r>
      <w:r w:rsidR="006E4D24">
        <w:rPr>
          <w:rFonts w:ascii="Arial" w:hAnsi="Arial" w:cs="Arial"/>
        </w:rPr>
        <w:t>,</w:t>
      </w:r>
      <w:r w:rsidR="00BE68C2" w:rsidRPr="00BE68C2">
        <w:rPr>
          <w:rFonts w:ascii="Arial" w:hAnsi="Arial" w:cs="Arial"/>
        </w:rPr>
        <w:t xml:space="preserve"> 1% [n=1]). PEG-IFN 80/80 and 100/100 adherence were 100% and 98% (mean on-treatment adherence</w:t>
      </w:r>
      <w:r w:rsidR="006E4D24">
        <w:rPr>
          <w:rFonts w:ascii="Arial" w:hAnsi="Arial" w:cs="Arial"/>
        </w:rPr>
        <w:t>=</w:t>
      </w:r>
      <w:r w:rsidR="00BE68C2" w:rsidRPr="00BE68C2">
        <w:rPr>
          <w:rFonts w:ascii="Arial" w:hAnsi="Arial" w:cs="Arial"/>
        </w:rPr>
        <w:t>99.9%). PEG-IFN 80/80 adherence was higher in ATAHC II</w:t>
      </w:r>
      <w:r w:rsidR="00D3187C">
        <w:rPr>
          <w:rFonts w:ascii="Arial" w:hAnsi="Arial" w:cs="Arial"/>
        </w:rPr>
        <w:t>/</w:t>
      </w:r>
      <w:r w:rsidR="00BE68C2" w:rsidRPr="00BE68C2">
        <w:rPr>
          <w:rFonts w:ascii="Arial" w:hAnsi="Arial" w:cs="Arial"/>
        </w:rPr>
        <w:t>DARE</w:t>
      </w:r>
      <w:r w:rsidR="006E4D24">
        <w:rPr>
          <w:rFonts w:ascii="Arial" w:hAnsi="Arial" w:cs="Arial"/>
        </w:rPr>
        <w:t>-</w:t>
      </w:r>
      <w:r w:rsidR="00BE68C2" w:rsidRPr="00BE68C2">
        <w:rPr>
          <w:rFonts w:ascii="Arial" w:hAnsi="Arial" w:cs="Arial"/>
        </w:rPr>
        <w:t>C I participants compared with ATAHC I (100% vs 82%, p&lt;0.001). RBV 80/80 and 100/100 adherence were 9</w:t>
      </w:r>
      <w:r w:rsidR="00AE6E2B">
        <w:rPr>
          <w:rFonts w:ascii="Arial" w:hAnsi="Arial" w:cs="Arial"/>
        </w:rPr>
        <w:t>5</w:t>
      </w:r>
      <w:r w:rsidR="00BE68C2" w:rsidRPr="00BE68C2">
        <w:rPr>
          <w:rFonts w:ascii="Arial" w:hAnsi="Arial" w:cs="Arial"/>
        </w:rPr>
        <w:t>% and 6</w:t>
      </w:r>
      <w:r w:rsidR="00AE6E2B">
        <w:rPr>
          <w:rFonts w:ascii="Arial" w:hAnsi="Arial" w:cs="Arial"/>
        </w:rPr>
        <w:t>3</w:t>
      </w:r>
      <w:r w:rsidR="00BE68C2" w:rsidRPr="00BE68C2">
        <w:rPr>
          <w:rFonts w:ascii="Arial" w:hAnsi="Arial" w:cs="Arial"/>
        </w:rPr>
        <w:t>% (mean on</w:t>
      </w:r>
      <w:r w:rsidR="00D3187C">
        <w:rPr>
          <w:rFonts w:ascii="Arial" w:hAnsi="Arial" w:cs="Arial"/>
        </w:rPr>
        <w:t>-</w:t>
      </w:r>
      <w:r w:rsidR="00BE68C2" w:rsidRPr="00BE68C2">
        <w:rPr>
          <w:rFonts w:ascii="Arial" w:hAnsi="Arial" w:cs="Arial"/>
        </w:rPr>
        <w:t>treatment adherence</w:t>
      </w:r>
      <w:r w:rsidR="006E4D24">
        <w:rPr>
          <w:rFonts w:ascii="Arial" w:hAnsi="Arial" w:cs="Arial"/>
        </w:rPr>
        <w:t>=</w:t>
      </w:r>
      <w:r w:rsidR="00BE68C2" w:rsidRPr="00BE68C2">
        <w:rPr>
          <w:rFonts w:ascii="Arial" w:hAnsi="Arial" w:cs="Arial"/>
        </w:rPr>
        <w:t>9</w:t>
      </w:r>
      <w:r w:rsidR="00AE6E2B">
        <w:rPr>
          <w:rFonts w:ascii="Arial" w:hAnsi="Arial" w:cs="Arial"/>
        </w:rPr>
        <w:t>6</w:t>
      </w:r>
      <w:r w:rsidR="00BE68C2" w:rsidRPr="00BE68C2">
        <w:rPr>
          <w:rFonts w:ascii="Arial" w:hAnsi="Arial" w:cs="Arial"/>
        </w:rPr>
        <w:t>.</w:t>
      </w:r>
      <w:r w:rsidR="00AE6E2B">
        <w:rPr>
          <w:rFonts w:ascii="Arial" w:hAnsi="Arial" w:cs="Arial"/>
        </w:rPr>
        <w:t>0</w:t>
      </w:r>
      <w:r w:rsidR="00BE68C2" w:rsidRPr="00BE68C2">
        <w:rPr>
          <w:rFonts w:ascii="Arial" w:hAnsi="Arial" w:cs="Arial"/>
        </w:rPr>
        <w:t>%). RBV 80/80 adherence was higher in those with HCV/HIV (</w:t>
      </w:r>
      <w:r w:rsidR="00AE6E2B">
        <w:rPr>
          <w:rFonts w:ascii="Arial" w:hAnsi="Arial" w:cs="Arial"/>
        </w:rPr>
        <w:t>100</w:t>
      </w:r>
      <w:r w:rsidR="00BE68C2" w:rsidRPr="00BE68C2">
        <w:rPr>
          <w:rFonts w:ascii="Arial" w:hAnsi="Arial" w:cs="Arial"/>
        </w:rPr>
        <w:t>% vs 82%, p=0.0</w:t>
      </w:r>
      <w:r w:rsidR="00AE6E2B">
        <w:rPr>
          <w:rFonts w:ascii="Arial" w:hAnsi="Arial" w:cs="Arial"/>
        </w:rPr>
        <w:t>03</w:t>
      </w:r>
      <w:r w:rsidR="00BE68C2" w:rsidRPr="00BE68C2">
        <w:rPr>
          <w:rFonts w:ascii="Arial" w:hAnsi="Arial" w:cs="Arial"/>
        </w:rPr>
        <w:t>). RBV adherence was not associated with SVR12.</w:t>
      </w:r>
      <w:r w:rsidR="00D3187C">
        <w:rPr>
          <w:rFonts w:ascii="Arial" w:hAnsi="Arial" w:cs="Arial"/>
        </w:rPr>
        <w:t xml:space="preserve"> </w:t>
      </w:r>
      <w:r w:rsidR="006E4D24">
        <w:rPr>
          <w:rFonts w:ascii="Arial" w:hAnsi="Arial" w:cs="Arial"/>
        </w:rPr>
        <w:t>In</w:t>
      </w:r>
      <w:r w:rsidR="006E4D24" w:rsidRPr="00BE68C2">
        <w:rPr>
          <w:rFonts w:ascii="Arial" w:hAnsi="Arial" w:cs="Arial"/>
        </w:rPr>
        <w:t xml:space="preserve"> </w:t>
      </w:r>
      <w:r w:rsidR="00D3187C">
        <w:rPr>
          <w:rFonts w:ascii="Arial" w:hAnsi="Arial" w:cs="Arial"/>
        </w:rPr>
        <w:t>adjusted</w:t>
      </w:r>
      <w:r w:rsidR="00D3187C" w:rsidRPr="00BE68C2">
        <w:rPr>
          <w:rFonts w:ascii="Arial" w:hAnsi="Arial" w:cs="Arial"/>
        </w:rPr>
        <w:t xml:space="preserve"> </w:t>
      </w:r>
      <w:r w:rsidR="00BE68C2" w:rsidRPr="00BE68C2">
        <w:rPr>
          <w:rFonts w:ascii="Arial" w:hAnsi="Arial" w:cs="Arial"/>
        </w:rPr>
        <w:t xml:space="preserve">analysis, </w:t>
      </w:r>
      <w:r w:rsidR="006E4D24">
        <w:rPr>
          <w:rFonts w:ascii="Arial" w:hAnsi="Arial" w:cs="Arial"/>
        </w:rPr>
        <w:t>&lt;</w:t>
      </w:r>
      <w:r w:rsidR="00BE68C2" w:rsidRPr="00BE68C2">
        <w:rPr>
          <w:rFonts w:ascii="Arial" w:hAnsi="Arial" w:cs="Arial"/>
        </w:rPr>
        <w:t xml:space="preserve">100/100 </w:t>
      </w:r>
      <w:r w:rsidR="006E4D24">
        <w:rPr>
          <w:rFonts w:ascii="Arial" w:hAnsi="Arial" w:cs="Arial"/>
        </w:rPr>
        <w:t xml:space="preserve">RBV </w:t>
      </w:r>
      <w:r w:rsidR="00BE68C2" w:rsidRPr="00BE68C2">
        <w:rPr>
          <w:rFonts w:ascii="Arial" w:hAnsi="Arial" w:cs="Arial"/>
        </w:rPr>
        <w:t>adherence was associated with lower social functioning (</w:t>
      </w:r>
      <w:r w:rsidR="00D3187C">
        <w:rPr>
          <w:rFonts w:ascii="Arial" w:hAnsi="Arial" w:cs="Arial"/>
        </w:rPr>
        <w:t>A</w:t>
      </w:r>
      <w:r w:rsidR="00BE68C2" w:rsidRPr="00BE68C2">
        <w:rPr>
          <w:rFonts w:ascii="Arial" w:hAnsi="Arial" w:cs="Arial"/>
        </w:rPr>
        <w:t>OR 0.</w:t>
      </w:r>
      <w:r w:rsidR="000C42CD">
        <w:rPr>
          <w:rFonts w:ascii="Arial" w:hAnsi="Arial" w:cs="Arial"/>
        </w:rPr>
        <w:t>23</w:t>
      </w:r>
      <w:r w:rsidR="00BE68C2" w:rsidRPr="00BE68C2">
        <w:rPr>
          <w:rFonts w:ascii="Arial" w:hAnsi="Arial" w:cs="Arial"/>
        </w:rPr>
        <w:t>, 95% CI 0.0</w:t>
      </w:r>
      <w:r w:rsidR="000C42CD">
        <w:rPr>
          <w:rFonts w:ascii="Arial" w:hAnsi="Arial" w:cs="Arial"/>
        </w:rPr>
        <w:t>6</w:t>
      </w:r>
      <w:r w:rsidR="00BE68C2" w:rsidRPr="00BE68C2">
        <w:rPr>
          <w:rFonts w:ascii="Arial" w:hAnsi="Arial" w:cs="Arial"/>
        </w:rPr>
        <w:t>-0.</w:t>
      </w:r>
      <w:r w:rsidR="000C42CD">
        <w:rPr>
          <w:rFonts w:ascii="Arial" w:hAnsi="Arial" w:cs="Arial"/>
        </w:rPr>
        <w:t>84</w:t>
      </w:r>
      <w:r w:rsidR="00BE68C2" w:rsidRPr="00BE68C2">
        <w:rPr>
          <w:rFonts w:ascii="Arial" w:hAnsi="Arial" w:cs="Arial"/>
        </w:rPr>
        <w:t>, p=0.0</w:t>
      </w:r>
      <w:r w:rsidR="000C42CD">
        <w:rPr>
          <w:rFonts w:ascii="Arial" w:hAnsi="Arial" w:cs="Arial"/>
        </w:rPr>
        <w:t>26</w:t>
      </w:r>
      <w:r w:rsidR="00BE68C2" w:rsidRPr="00BE68C2">
        <w:rPr>
          <w:rFonts w:ascii="Arial" w:hAnsi="Arial" w:cs="Arial"/>
        </w:rPr>
        <w:t>) and longer treatment duration (</w:t>
      </w:r>
      <w:r w:rsidR="00D3187C">
        <w:rPr>
          <w:rFonts w:ascii="Arial" w:hAnsi="Arial" w:cs="Arial"/>
        </w:rPr>
        <w:t>A</w:t>
      </w:r>
      <w:r w:rsidR="00BE68C2" w:rsidRPr="00BE68C2">
        <w:rPr>
          <w:rFonts w:ascii="Arial" w:hAnsi="Arial" w:cs="Arial"/>
        </w:rPr>
        <w:t>OR 0.4</w:t>
      </w:r>
      <w:r w:rsidR="000C42CD">
        <w:rPr>
          <w:rFonts w:ascii="Arial" w:hAnsi="Arial" w:cs="Arial"/>
        </w:rPr>
        <w:t>4</w:t>
      </w:r>
      <w:r w:rsidR="00BE68C2" w:rsidRPr="00BE68C2">
        <w:rPr>
          <w:rFonts w:ascii="Arial" w:hAnsi="Arial" w:cs="Arial"/>
        </w:rPr>
        <w:t>, 95% CI 0.2</w:t>
      </w:r>
      <w:r w:rsidR="000C42CD">
        <w:rPr>
          <w:rFonts w:ascii="Arial" w:hAnsi="Arial" w:cs="Arial"/>
        </w:rPr>
        <w:t>3</w:t>
      </w:r>
      <w:r w:rsidR="00BE68C2" w:rsidRPr="00BE68C2">
        <w:rPr>
          <w:rFonts w:ascii="Arial" w:hAnsi="Arial" w:cs="Arial"/>
        </w:rPr>
        <w:t>-0.8</w:t>
      </w:r>
      <w:r w:rsidR="000C42CD">
        <w:rPr>
          <w:rFonts w:ascii="Arial" w:hAnsi="Arial" w:cs="Arial"/>
        </w:rPr>
        <w:t>5</w:t>
      </w:r>
      <w:r w:rsidR="00BE68C2" w:rsidRPr="00BE68C2">
        <w:rPr>
          <w:rFonts w:ascii="Arial" w:hAnsi="Arial" w:cs="Arial"/>
        </w:rPr>
        <w:t>, p=0.0</w:t>
      </w:r>
      <w:r w:rsidR="00E1285B">
        <w:rPr>
          <w:rFonts w:ascii="Arial" w:hAnsi="Arial" w:cs="Arial"/>
        </w:rPr>
        <w:t>1</w:t>
      </w:r>
      <w:r w:rsidR="000C42CD">
        <w:rPr>
          <w:rFonts w:ascii="Arial" w:hAnsi="Arial" w:cs="Arial"/>
        </w:rPr>
        <w:t>4</w:t>
      </w:r>
      <w:r w:rsidR="00BE68C2" w:rsidRPr="00BE68C2">
        <w:rPr>
          <w:rFonts w:ascii="Arial" w:hAnsi="Arial" w:cs="Arial"/>
        </w:rPr>
        <w:t xml:space="preserve">), but not </w:t>
      </w:r>
      <w:r w:rsidR="00BA1A50">
        <w:rPr>
          <w:rFonts w:ascii="Arial" w:hAnsi="Arial" w:cs="Arial"/>
        </w:rPr>
        <w:t>injecting drug use</w:t>
      </w:r>
      <w:r w:rsidR="00BE68C2" w:rsidRPr="00BE68C2">
        <w:rPr>
          <w:rFonts w:ascii="Arial" w:hAnsi="Arial" w:cs="Arial"/>
        </w:rPr>
        <w:t xml:space="preserve">. </w:t>
      </w:r>
    </w:p>
    <w:p w:rsidR="00435EA5" w:rsidRPr="00BE68C2" w:rsidRDefault="00435EA5" w:rsidP="00302B45">
      <w:pPr>
        <w:jc w:val="both"/>
        <w:rPr>
          <w:rFonts w:ascii="Arial" w:hAnsi="Arial" w:cs="Arial"/>
        </w:rPr>
      </w:pPr>
    </w:p>
    <w:p w:rsidR="00BE68C2" w:rsidRPr="00BE68C2" w:rsidRDefault="00435EA5" w:rsidP="00302B45">
      <w:pPr>
        <w:jc w:val="both"/>
        <w:rPr>
          <w:rFonts w:ascii="Arial" w:hAnsi="Arial" w:cs="Arial"/>
        </w:rPr>
      </w:pPr>
      <w:r w:rsidRPr="00BE68C2">
        <w:rPr>
          <w:rFonts w:ascii="Arial" w:hAnsi="Arial" w:cs="Arial"/>
          <w:b/>
        </w:rPr>
        <w:t>Conclusion:</w:t>
      </w:r>
      <w:r w:rsidR="00705AA8" w:rsidRPr="00BE68C2">
        <w:rPr>
          <w:rFonts w:ascii="Arial" w:hAnsi="Arial" w:cs="Arial"/>
          <w:color w:val="000000" w:themeColor="text1"/>
        </w:rPr>
        <w:t xml:space="preserve"> </w:t>
      </w:r>
      <w:r w:rsidR="00BE68C2" w:rsidRPr="00BE68C2">
        <w:rPr>
          <w:rFonts w:ascii="Arial" w:hAnsi="Arial" w:cs="Arial"/>
        </w:rPr>
        <w:t>Treatment adherence was high in participants receiving short duration response-guided therapy.</w:t>
      </w:r>
      <w:r w:rsidR="00D3187C">
        <w:rPr>
          <w:rFonts w:ascii="Arial" w:hAnsi="Arial" w:cs="Arial"/>
        </w:rPr>
        <w:t xml:space="preserve"> </w:t>
      </w:r>
      <w:r w:rsidR="00BE68C2" w:rsidRPr="00BE68C2">
        <w:rPr>
          <w:rFonts w:ascii="Arial" w:hAnsi="Arial" w:cs="Arial"/>
        </w:rPr>
        <w:t xml:space="preserve">Failure to achieve SVR was due to treatment discontinuation as opposed to non-adherence.  </w:t>
      </w:r>
    </w:p>
    <w:p w:rsidR="00435EA5" w:rsidRPr="00BE68C2" w:rsidRDefault="00435EA5" w:rsidP="00302B45">
      <w:pPr>
        <w:jc w:val="both"/>
        <w:rPr>
          <w:rFonts w:ascii="Arial" w:hAnsi="Arial" w:cs="Arial"/>
        </w:rPr>
      </w:pPr>
    </w:p>
    <w:p w:rsidR="00435EA5" w:rsidRPr="00BE68C2" w:rsidRDefault="00D755F5" w:rsidP="00302B45">
      <w:pPr>
        <w:autoSpaceDE w:val="0"/>
        <w:autoSpaceDN w:val="0"/>
        <w:adjustRightInd w:val="0"/>
        <w:rPr>
          <w:rFonts w:ascii="Arial" w:hAnsi="Arial" w:cs="Arial"/>
          <w:b/>
          <w:bCs/>
          <w:color w:val="000000"/>
        </w:rPr>
      </w:pPr>
      <w:r w:rsidRPr="00BE68C2">
        <w:rPr>
          <w:rFonts w:ascii="Arial" w:hAnsi="Arial" w:cs="Arial"/>
          <w:b/>
          <w:color w:val="000000"/>
        </w:rPr>
        <w:t>Disclosure of Interest Statement:</w:t>
      </w:r>
      <w:r w:rsidR="00705AA8" w:rsidRPr="00BE68C2">
        <w:rPr>
          <w:rFonts w:ascii="Arial" w:hAnsi="Arial" w:cs="Arial"/>
          <w:b/>
          <w:bCs/>
          <w:color w:val="000000"/>
        </w:rPr>
        <w:t xml:space="preserve"> </w:t>
      </w:r>
      <w:r w:rsidR="00705AA8" w:rsidRPr="00BE68C2">
        <w:rPr>
          <w:rFonts w:ascii="Arial" w:hAnsi="Arial" w:cs="Arial"/>
          <w:color w:val="000000"/>
        </w:rPr>
        <w:t>The Kirby Institute is funded by the Australian Government Department of Health and Ageing.</w:t>
      </w:r>
      <w:r w:rsidR="00BE68C2" w:rsidRPr="00BE68C2">
        <w:rPr>
          <w:rFonts w:ascii="Arial" w:hAnsi="Arial" w:cs="Arial"/>
          <w:color w:val="000000"/>
        </w:rPr>
        <w:t xml:space="preserve"> </w:t>
      </w:r>
      <w:r w:rsidR="00302B45" w:rsidRPr="00302B45">
        <w:rPr>
          <w:rFonts w:ascii="Arial" w:hAnsi="Arial" w:cs="Arial"/>
          <w:color w:val="000000"/>
        </w:rPr>
        <w:t>The views expressed in this publication do not necessarily represent the position of the Australian Government. Research reported in this publication was supported by the National Institute on Drug Abuse of the National Institutes of Health under award R01DA015999</w:t>
      </w:r>
      <w:r w:rsidR="00302B45">
        <w:rPr>
          <w:rFonts w:ascii="Arial" w:hAnsi="Arial" w:cs="Arial"/>
          <w:color w:val="000000"/>
        </w:rPr>
        <w:t xml:space="preserve"> and Janssen-</w:t>
      </w:r>
      <w:proofErr w:type="spellStart"/>
      <w:r w:rsidR="00302B45">
        <w:rPr>
          <w:rFonts w:ascii="Arial" w:hAnsi="Arial" w:cs="Arial"/>
          <w:color w:val="000000"/>
        </w:rPr>
        <w:t>Cilag</w:t>
      </w:r>
      <w:proofErr w:type="spellEnd"/>
      <w:r w:rsidR="00302B45">
        <w:rPr>
          <w:rFonts w:ascii="Arial" w:hAnsi="Arial" w:cs="Arial"/>
          <w:color w:val="000000"/>
        </w:rPr>
        <w:t xml:space="preserve"> Pty Ltd</w:t>
      </w:r>
      <w:r w:rsidR="00302B45" w:rsidRPr="00302B45">
        <w:rPr>
          <w:rFonts w:ascii="Arial" w:hAnsi="Arial" w:cs="Arial"/>
          <w:color w:val="000000"/>
        </w:rPr>
        <w:t>. The content is solely the responsibility of the authors and does not necessarily represent the official views of the National Institutes of Health. None of the authors has commercial relationships that might pose a conflict of interest in connection with this manuscript.</w:t>
      </w:r>
    </w:p>
    <w:sectPr w:rsidR="00435EA5" w:rsidRPr="00BE68C2" w:rsidSect="001E0B5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95" w:rsidRDefault="00315995" w:rsidP="006303EA">
      <w:r>
        <w:separator/>
      </w:r>
    </w:p>
  </w:endnote>
  <w:endnote w:type="continuationSeparator" w:id="0">
    <w:p w:rsidR="00315995" w:rsidRDefault="00315995"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95" w:rsidRDefault="00315995" w:rsidP="006303EA">
      <w:r>
        <w:separator/>
      </w:r>
    </w:p>
  </w:footnote>
  <w:footnote w:type="continuationSeparator" w:id="0">
    <w:p w:rsidR="00315995" w:rsidRDefault="00315995"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Default="006303EA" w:rsidP="006303EA">
    <w:pPr>
      <w:ind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0655E"/>
    <w:rsid w:val="00027CE9"/>
    <w:rsid w:val="00032DD3"/>
    <w:rsid w:val="0004301C"/>
    <w:rsid w:val="000C42CD"/>
    <w:rsid w:val="001731BA"/>
    <w:rsid w:val="001E0B52"/>
    <w:rsid w:val="0021121E"/>
    <w:rsid w:val="00254C5A"/>
    <w:rsid w:val="00302B45"/>
    <w:rsid w:val="00315995"/>
    <w:rsid w:val="00376D19"/>
    <w:rsid w:val="00435EA5"/>
    <w:rsid w:val="004927C9"/>
    <w:rsid w:val="005C51E2"/>
    <w:rsid w:val="006303EA"/>
    <w:rsid w:val="006D4409"/>
    <w:rsid w:val="006E4D24"/>
    <w:rsid w:val="00705AA8"/>
    <w:rsid w:val="00753449"/>
    <w:rsid w:val="009F3768"/>
    <w:rsid w:val="00A736EE"/>
    <w:rsid w:val="00AE6E2B"/>
    <w:rsid w:val="00B32CC1"/>
    <w:rsid w:val="00B45670"/>
    <w:rsid w:val="00BA1A50"/>
    <w:rsid w:val="00BE68C2"/>
    <w:rsid w:val="00C30437"/>
    <w:rsid w:val="00C53098"/>
    <w:rsid w:val="00D3187C"/>
    <w:rsid w:val="00D411A9"/>
    <w:rsid w:val="00D755F5"/>
    <w:rsid w:val="00DC6454"/>
    <w:rsid w:val="00E1285B"/>
    <w:rsid w:val="00F04EC5"/>
    <w:rsid w:val="00FA408B"/>
    <w:rsid w:val="00FC7D92"/>
    <w:rsid w:val="00FE3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styleId="CommentReference">
    <w:name w:val="annotation reference"/>
    <w:basedOn w:val="DefaultParagraphFont"/>
    <w:uiPriority w:val="99"/>
    <w:semiHidden/>
    <w:unhideWhenUsed/>
    <w:rsid w:val="00BE68C2"/>
    <w:rPr>
      <w:sz w:val="16"/>
      <w:szCs w:val="16"/>
    </w:rPr>
  </w:style>
  <w:style w:type="paragraph" w:styleId="CommentText">
    <w:name w:val="annotation text"/>
    <w:basedOn w:val="Normal"/>
    <w:link w:val="CommentTextChar"/>
    <w:uiPriority w:val="99"/>
    <w:semiHidden/>
    <w:unhideWhenUsed/>
    <w:rsid w:val="00BE68C2"/>
    <w:rPr>
      <w:sz w:val="20"/>
      <w:szCs w:val="20"/>
    </w:rPr>
  </w:style>
  <w:style w:type="character" w:customStyle="1" w:styleId="CommentTextChar">
    <w:name w:val="Comment Text Char"/>
    <w:basedOn w:val="DefaultParagraphFont"/>
    <w:link w:val="CommentText"/>
    <w:uiPriority w:val="99"/>
    <w:semiHidden/>
    <w:rsid w:val="00BE68C2"/>
    <w:rPr>
      <w:sz w:val="20"/>
      <w:szCs w:val="20"/>
    </w:rPr>
  </w:style>
  <w:style w:type="paragraph" w:styleId="CommentSubject">
    <w:name w:val="annotation subject"/>
    <w:basedOn w:val="CommentText"/>
    <w:next w:val="CommentText"/>
    <w:link w:val="CommentSubjectChar"/>
    <w:uiPriority w:val="99"/>
    <w:semiHidden/>
    <w:unhideWhenUsed/>
    <w:rsid w:val="00BE68C2"/>
    <w:rPr>
      <w:b/>
      <w:bCs/>
    </w:rPr>
  </w:style>
  <w:style w:type="character" w:customStyle="1" w:styleId="CommentSubjectChar">
    <w:name w:val="Comment Subject Char"/>
    <w:basedOn w:val="CommentTextChar"/>
    <w:link w:val="CommentSubject"/>
    <w:uiPriority w:val="99"/>
    <w:semiHidden/>
    <w:rsid w:val="00BE68C2"/>
    <w:rPr>
      <w:b/>
      <w:bCs/>
      <w:sz w:val="20"/>
      <w:szCs w:val="20"/>
    </w:rPr>
  </w:style>
  <w:style w:type="paragraph" w:styleId="BalloonText">
    <w:name w:val="Balloon Text"/>
    <w:basedOn w:val="Normal"/>
    <w:link w:val="BalloonTextChar"/>
    <w:uiPriority w:val="99"/>
    <w:semiHidden/>
    <w:unhideWhenUsed/>
    <w:rsid w:val="00BE68C2"/>
    <w:rPr>
      <w:rFonts w:ascii="Tahoma" w:hAnsi="Tahoma" w:cs="Tahoma"/>
      <w:sz w:val="16"/>
      <w:szCs w:val="16"/>
    </w:rPr>
  </w:style>
  <w:style w:type="character" w:customStyle="1" w:styleId="BalloonTextChar">
    <w:name w:val="Balloon Text Char"/>
    <w:basedOn w:val="DefaultParagraphFont"/>
    <w:link w:val="BalloonText"/>
    <w:uiPriority w:val="99"/>
    <w:semiHidden/>
    <w:rsid w:val="00BE68C2"/>
    <w:rPr>
      <w:rFonts w:ascii="Tahoma" w:hAnsi="Tahoma" w:cs="Tahoma"/>
      <w:sz w:val="16"/>
      <w:szCs w:val="16"/>
    </w:rPr>
  </w:style>
  <w:style w:type="paragraph" w:styleId="Revision">
    <w:name w:val="Revision"/>
    <w:hidden/>
    <w:uiPriority w:val="99"/>
    <w:semiHidden/>
    <w:rsid w:val="00BE68C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styleId="CommentReference">
    <w:name w:val="annotation reference"/>
    <w:basedOn w:val="DefaultParagraphFont"/>
    <w:uiPriority w:val="99"/>
    <w:semiHidden/>
    <w:unhideWhenUsed/>
    <w:rsid w:val="00BE68C2"/>
    <w:rPr>
      <w:sz w:val="16"/>
      <w:szCs w:val="16"/>
    </w:rPr>
  </w:style>
  <w:style w:type="paragraph" w:styleId="CommentText">
    <w:name w:val="annotation text"/>
    <w:basedOn w:val="Normal"/>
    <w:link w:val="CommentTextChar"/>
    <w:uiPriority w:val="99"/>
    <w:semiHidden/>
    <w:unhideWhenUsed/>
    <w:rsid w:val="00BE68C2"/>
    <w:rPr>
      <w:sz w:val="20"/>
      <w:szCs w:val="20"/>
    </w:rPr>
  </w:style>
  <w:style w:type="character" w:customStyle="1" w:styleId="CommentTextChar">
    <w:name w:val="Comment Text Char"/>
    <w:basedOn w:val="DefaultParagraphFont"/>
    <w:link w:val="CommentText"/>
    <w:uiPriority w:val="99"/>
    <w:semiHidden/>
    <w:rsid w:val="00BE68C2"/>
    <w:rPr>
      <w:sz w:val="20"/>
      <w:szCs w:val="20"/>
    </w:rPr>
  </w:style>
  <w:style w:type="paragraph" w:styleId="CommentSubject">
    <w:name w:val="annotation subject"/>
    <w:basedOn w:val="CommentText"/>
    <w:next w:val="CommentText"/>
    <w:link w:val="CommentSubjectChar"/>
    <w:uiPriority w:val="99"/>
    <w:semiHidden/>
    <w:unhideWhenUsed/>
    <w:rsid w:val="00BE68C2"/>
    <w:rPr>
      <w:b/>
      <w:bCs/>
    </w:rPr>
  </w:style>
  <w:style w:type="character" w:customStyle="1" w:styleId="CommentSubjectChar">
    <w:name w:val="Comment Subject Char"/>
    <w:basedOn w:val="CommentTextChar"/>
    <w:link w:val="CommentSubject"/>
    <w:uiPriority w:val="99"/>
    <w:semiHidden/>
    <w:rsid w:val="00BE68C2"/>
    <w:rPr>
      <w:b/>
      <w:bCs/>
      <w:sz w:val="20"/>
      <w:szCs w:val="20"/>
    </w:rPr>
  </w:style>
  <w:style w:type="paragraph" w:styleId="BalloonText">
    <w:name w:val="Balloon Text"/>
    <w:basedOn w:val="Normal"/>
    <w:link w:val="BalloonTextChar"/>
    <w:uiPriority w:val="99"/>
    <w:semiHidden/>
    <w:unhideWhenUsed/>
    <w:rsid w:val="00BE68C2"/>
    <w:rPr>
      <w:rFonts w:ascii="Tahoma" w:hAnsi="Tahoma" w:cs="Tahoma"/>
      <w:sz w:val="16"/>
      <w:szCs w:val="16"/>
    </w:rPr>
  </w:style>
  <w:style w:type="character" w:customStyle="1" w:styleId="BalloonTextChar">
    <w:name w:val="Balloon Text Char"/>
    <w:basedOn w:val="DefaultParagraphFont"/>
    <w:link w:val="BalloonText"/>
    <w:uiPriority w:val="99"/>
    <w:semiHidden/>
    <w:rsid w:val="00BE68C2"/>
    <w:rPr>
      <w:rFonts w:ascii="Tahoma" w:hAnsi="Tahoma" w:cs="Tahoma"/>
      <w:sz w:val="16"/>
      <w:szCs w:val="16"/>
    </w:rPr>
  </w:style>
  <w:style w:type="paragraph" w:styleId="Revision">
    <w:name w:val="Revision"/>
    <w:hidden/>
    <w:uiPriority w:val="99"/>
    <w:semiHidden/>
    <w:rsid w:val="00BE68C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EEEC-F02E-4AA6-9B7D-D707EDD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4</cp:revision>
  <dcterms:created xsi:type="dcterms:W3CDTF">2015-06-18T23:50:00Z</dcterms:created>
  <dcterms:modified xsi:type="dcterms:W3CDTF">2015-06-23T00:28:00Z</dcterms:modified>
</cp:coreProperties>
</file>