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A8" w:rsidRPr="00403E43" w:rsidRDefault="00403E43" w:rsidP="00705AA8">
      <w:pPr>
        <w:rPr>
          <w:rFonts w:ascii="Arial" w:hAnsi="Arial" w:cs="Arial"/>
          <w:b/>
        </w:rPr>
      </w:pPr>
      <w:r w:rsidRPr="00403E43">
        <w:rPr>
          <w:rFonts w:ascii="Arial" w:hAnsi="Arial" w:cs="Arial"/>
          <w:b/>
        </w:rPr>
        <w:t>EFFICACY OF RESPONSE-GUIDED PEGYLATED INTERFERON AND RIBAVIRIN THERAPY FOR PEOPLE WHO INJECT DRUGS WITH HCV GENOTYPE 2/3 INFECTION: THE ACTIVATE STUDY</w:t>
      </w:r>
    </w:p>
    <w:p w:rsidR="00B32CC1" w:rsidRPr="00403E43" w:rsidRDefault="00B32CC1" w:rsidP="00B32CC1">
      <w:pPr>
        <w:rPr>
          <w:rFonts w:ascii="Arial" w:hAnsi="Arial" w:cs="Arial"/>
        </w:rPr>
      </w:pPr>
    </w:p>
    <w:p w:rsidR="00705AA8" w:rsidRPr="00403E43" w:rsidRDefault="00705AA8" w:rsidP="00705AA8">
      <w:pPr>
        <w:rPr>
          <w:rFonts w:ascii="Arial" w:hAnsi="Arial" w:cs="Arial"/>
          <w:b/>
        </w:rPr>
      </w:pPr>
      <w:proofErr w:type="spellStart"/>
      <w:r w:rsidRPr="00403E43">
        <w:rPr>
          <w:rFonts w:ascii="Arial" w:hAnsi="Arial" w:cs="Arial"/>
          <w:bCs/>
          <w:u w:val="single"/>
        </w:rPr>
        <w:t>Grebely</w:t>
      </w:r>
      <w:proofErr w:type="spellEnd"/>
      <w:r w:rsidRPr="00403E43">
        <w:rPr>
          <w:rFonts w:ascii="Arial" w:hAnsi="Arial" w:cs="Arial"/>
          <w:bCs/>
          <w:u w:val="single"/>
        </w:rPr>
        <w:t xml:space="preserve"> J</w:t>
      </w:r>
      <w:r w:rsidRPr="00403E43">
        <w:rPr>
          <w:rFonts w:ascii="Arial" w:hAnsi="Arial" w:cs="Arial"/>
          <w:bCs/>
          <w:u w:val="single"/>
          <w:vertAlign w:val="superscript"/>
        </w:rPr>
        <w:t>1</w:t>
      </w:r>
      <w:r w:rsidRPr="00403E43">
        <w:rPr>
          <w:rFonts w:ascii="Arial" w:hAnsi="Arial" w:cs="Arial"/>
          <w:bCs/>
        </w:rPr>
        <w:t xml:space="preserve">, </w:t>
      </w:r>
      <w:proofErr w:type="spellStart"/>
      <w:r w:rsidRPr="00403E43">
        <w:rPr>
          <w:rFonts w:ascii="Arial" w:hAnsi="Arial" w:cs="Arial"/>
          <w:bCs/>
        </w:rPr>
        <w:t>Dalgard</w:t>
      </w:r>
      <w:proofErr w:type="spellEnd"/>
      <w:r w:rsidRPr="00403E43">
        <w:rPr>
          <w:rFonts w:ascii="Arial" w:hAnsi="Arial" w:cs="Arial"/>
          <w:bCs/>
        </w:rPr>
        <w:t xml:space="preserve"> O</w:t>
      </w:r>
      <w:r w:rsidRPr="00403E43">
        <w:rPr>
          <w:rFonts w:ascii="Arial" w:hAnsi="Arial" w:cs="Arial"/>
          <w:bCs/>
          <w:vertAlign w:val="superscript"/>
        </w:rPr>
        <w:t>2</w:t>
      </w:r>
      <w:r w:rsidRPr="00403E43">
        <w:rPr>
          <w:rFonts w:ascii="Arial" w:hAnsi="Arial" w:cs="Arial"/>
          <w:bCs/>
        </w:rPr>
        <w:t>, Conway B</w:t>
      </w:r>
      <w:r w:rsidRPr="00403E43">
        <w:rPr>
          <w:rFonts w:ascii="Arial" w:hAnsi="Arial" w:cs="Arial"/>
          <w:bCs/>
          <w:vertAlign w:val="superscript"/>
        </w:rPr>
        <w:t>3</w:t>
      </w:r>
      <w:r w:rsidRPr="00403E43">
        <w:rPr>
          <w:rFonts w:ascii="Arial" w:hAnsi="Arial" w:cs="Arial"/>
          <w:bCs/>
        </w:rPr>
        <w:t>, Foster GR</w:t>
      </w:r>
      <w:r w:rsidRPr="00403E43">
        <w:rPr>
          <w:rFonts w:ascii="Arial" w:hAnsi="Arial" w:cs="Arial"/>
          <w:bCs/>
          <w:vertAlign w:val="superscript"/>
        </w:rPr>
        <w:t>4</w:t>
      </w:r>
      <w:r w:rsidRPr="00403E43">
        <w:rPr>
          <w:rFonts w:ascii="Arial" w:hAnsi="Arial" w:cs="Arial"/>
          <w:bCs/>
        </w:rPr>
        <w:t>, Bruggmann P</w:t>
      </w:r>
      <w:r w:rsidRPr="00403E43">
        <w:rPr>
          <w:rFonts w:ascii="Arial" w:hAnsi="Arial" w:cs="Arial"/>
          <w:bCs/>
          <w:vertAlign w:val="superscript"/>
        </w:rPr>
        <w:t>5</w:t>
      </w:r>
      <w:r w:rsidRPr="00403E43">
        <w:rPr>
          <w:rFonts w:ascii="Arial" w:hAnsi="Arial" w:cs="Arial"/>
          <w:bCs/>
        </w:rPr>
        <w:t>, Hajarizadeh B</w:t>
      </w:r>
      <w:r w:rsidRPr="00403E43">
        <w:rPr>
          <w:rFonts w:ascii="Arial" w:hAnsi="Arial" w:cs="Arial"/>
          <w:bCs/>
          <w:vertAlign w:val="superscript"/>
        </w:rPr>
        <w:t>1</w:t>
      </w:r>
      <w:r w:rsidRPr="00403E43">
        <w:rPr>
          <w:rFonts w:ascii="Arial" w:hAnsi="Arial" w:cs="Arial"/>
          <w:bCs/>
        </w:rPr>
        <w:t>, Backmund M</w:t>
      </w:r>
      <w:r w:rsidRPr="00403E43">
        <w:rPr>
          <w:rFonts w:ascii="Arial" w:hAnsi="Arial" w:cs="Arial"/>
          <w:bCs/>
          <w:vertAlign w:val="superscript"/>
        </w:rPr>
        <w:t>6</w:t>
      </w:r>
      <w:r w:rsidRPr="00403E43">
        <w:rPr>
          <w:rFonts w:ascii="Arial" w:hAnsi="Arial" w:cs="Arial"/>
          <w:bCs/>
        </w:rPr>
        <w:t>, Robaeys G</w:t>
      </w:r>
      <w:r w:rsidRPr="00403E43">
        <w:rPr>
          <w:rFonts w:ascii="Arial" w:hAnsi="Arial" w:cs="Arial"/>
          <w:bCs/>
          <w:vertAlign w:val="superscript"/>
        </w:rPr>
        <w:t>7,8,9</w:t>
      </w:r>
      <w:r w:rsidRPr="00403E43">
        <w:rPr>
          <w:rFonts w:ascii="Arial" w:hAnsi="Arial" w:cs="Arial"/>
          <w:bCs/>
        </w:rPr>
        <w:t>, Swan T</w:t>
      </w:r>
      <w:r w:rsidRPr="00403E43">
        <w:rPr>
          <w:rFonts w:ascii="Arial" w:hAnsi="Arial" w:cs="Arial"/>
          <w:bCs/>
          <w:vertAlign w:val="superscript"/>
        </w:rPr>
        <w:t>10</w:t>
      </w:r>
      <w:r w:rsidRPr="00403E43">
        <w:rPr>
          <w:rFonts w:ascii="Arial" w:hAnsi="Arial" w:cs="Arial"/>
          <w:bCs/>
        </w:rPr>
        <w:t>, Amin J</w:t>
      </w:r>
      <w:r w:rsidRPr="00403E43">
        <w:rPr>
          <w:rFonts w:ascii="Arial" w:hAnsi="Arial" w:cs="Arial"/>
          <w:bCs/>
          <w:vertAlign w:val="superscript"/>
        </w:rPr>
        <w:t>1</w:t>
      </w:r>
      <w:r w:rsidRPr="00403E43">
        <w:rPr>
          <w:rFonts w:ascii="Arial" w:hAnsi="Arial" w:cs="Arial"/>
          <w:bCs/>
        </w:rPr>
        <w:t>, Marks P</w:t>
      </w:r>
      <w:r w:rsidRPr="00403E43">
        <w:rPr>
          <w:rFonts w:ascii="Arial" w:hAnsi="Arial" w:cs="Arial"/>
          <w:bCs/>
          <w:vertAlign w:val="superscript"/>
        </w:rPr>
        <w:t>1</w:t>
      </w:r>
      <w:r w:rsidRPr="00403E43">
        <w:rPr>
          <w:rFonts w:ascii="Arial" w:hAnsi="Arial" w:cs="Arial"/>
          <w:bCs/>
        </w:rPr>
        <w:t>, Quiene S</w:t>
      </w:r>
      <w:r w:rsidRPr="00403E43">
        <w:rPr>
          <w:rFonts w:ascii="Arial" w:hAnsi="Arial" w:cs="Arial"/>
          <w:bCs/>
          <w:vertAlign w:val="superscript"/>
        </w:rPr>
        <w:t>1</w:t>
      </w:r>
      <w:r w:rsidRPr="00403E43">
        <w:rPr>
          <w:rFonts w:ascii="Arial" w:hAnsi="Arial" w:cs="Arial"/>
          <w:bCs/>
        </w:rPr>
        <w:t>, Weltman M</w:t>
      </w:r>
      <w:r w:rsidRPr="00403E43">
        <w:rPr>
          <w:rFonts w:ascii="Arial" w:hAnsi="Arial" w:cs="Arial"/>
          <w:bCs/>
          <w:vertAlign w:val="superscript"/>
        </w:rPr>
        <w:t>11</w:t>
      </w:r>
      <w:r w:rsidRPr="00403E43">
        <w:rPr>
          <w:rFonts w:ascii="Arial" w:hAnsi="Arial" w:cs="Arial"/>
          <w:bCs/>
        </w:rPr>
        <w:t>, Shaw D</w:t>
      </w:r>
      <w:r w:rsidRPr="00403E43">
        <w:rPr>
          <w:rFonts w:ascii="Arial" w:hAnsi="Arial" w:cs="Arial"/>
          <w:bCs/>
          <w:vertAlign w:val="superscript"/>
        </w:rPr>
        <w:t>12</w:t>
      </w:r>
      <w:r w:rsidRPr="00403E43">
        <w:rPr>
          <w:rFonts w:ascii="Arial" w:hAnsi="Arial" w:cs="Arial"/>
          <w:bCs/>
        </w:rPr>
        <w:t>, Dunlop A</w:t>
      </w:r>
      <w:r w:rsidRPr="00403E43">
        <w:rPr>
          <w:rFonts w:ascii="Arial" w:hAnsi="Arial" w:cs="Arial"/>
          <w:bCs/>
          <w:vertAlign w:val="superscript"/>
        </w:rPr>
        <w:t>13</w:t>
      </w:r>
      <w:r w:rsidRPr="00403E43">
        <w:rPr>
          <w:rFonts w:ascii="Arial" w:hAnsi="Arial" w:cs="Arial"/>
          <w:bCs/>
        </w:rPr>
        <w:t>, Hellard M</w:t>
      </w:r>
      <w:r w:rsidRPr="00403E43">
        <w:rPr>
          <w:rFonts w:ascii="Arial" w:hAnsi="Arial" w:cs="Arial"/>
          <w:bCs/>
          <w:vertAlign w:val="superscript"/>
        </w:rPr>
        <w:t>14</w:t>
      </w:r>
      <w:r w:rsidRPr="00403E43">
        <w:rPr>
          <w:rFonts w:ascii="Arial" w:hAnsi="Arial" w:cs="Arial"/>
          <w:bCs/>
        </w:rPr>
        <w:t>, Bruneau J</w:t>
      </w:r>
      <w:r w:rsidRPr="00403E43">
        <w:rPr>
          <w:rFonts w:ascii="Arial" w:hAnsi="Arial" w:cs="Arial"/>
          <w:bCs/>
          <w:vertAlign w:val="superscript"/>
        </w:rPr>
        <w:t>15</w:t>
      </w:r>
      <w:r w:rsidRPr="00403E43">
        <w:rPr>
          <w:rFonts w:ascii="Arial" w:hAnsi="Arial" w:cs="Arial"/>
          <w:bCs/>
        </w:rPr>
        <w:t>, Bourgeois S</w:t>
      </w:r>
      <w:r w:rsidRPr="00403E43">
        <w:rPr>
          <w:rFonts w:ascii="Arial" w:hAnsi="Arial" w:cs="Arial"/>
          <w:bCs/>
          <w:vertAlign w:val="superscript"/>
        </w:rPr>
        <w:t>16</w:t>
      </w:r>
      <w:r w:rsidRPr="00403E43">
        <w:rPr>
          <w:rFonts w:ascii="Arial" w:hAnsi="Arial" w:cs="Arial"/>
          <w:bCs/>
        </w:rPr>
        <w:t xml:space="preserve">, </w:t>
      </w:r>
      <w:proofErr w:type="spellStart"/>
      <w:r w:rsidRPr="00403E43">
        <w:rPr>
          <w:rFonts w:ascii="Arial" w:hAnsi="Arial" w:cs="Arial"/>
          <w:bCs/>
        </w:rPr>
        <w:t>Staehelin</w:t>
      </w:r>
      <w:proofErr w:type="spellEnd"/>
      <w:r w:rsidRPr="00403E43">
        <w:rPr>
          <w:rFonts w:ascii="Arial" w:hAnsi="Arial" w:cs="Arial"/>
          <w:bCs/>
        </w:rPr>
        <w:t xml:space="preserve"> C</w:t>
      </w:r>
      <w:r w:rsidRPr="00403E43">
        <w:rPr>
          <w:rFonts w:ascii="Arial" w:hAnsi="Arial" w:cs="Arial"/>
          <w:bCs/>
          <w:vertAlign w:val="superscript"/>
        </w:rPr>
        <w:t>17</w:t>
      </w:r>
      <w:r w:rsidRPr="00403E43">
        <w:rPr>
          <w:rFonts w:ascii="Arial" w:hAnsi="Arial" w:cs="Arial"/>
          <w:bCs/>
        </w:rPr>
        <w:t>, and Dore GJ</w:t>
      </w:r>
      <w:r w:rsidRPr="00403E43">
        <w:rPr>
          <w:rFonts w:ascii="Arial" w:hAnsi="Arial" w:cs="Arial"/>
          <w:bCs/>
          <w:vertAlign w:val="superscript"/>
        </w:rPr>
        <w:t>1</w:t>
      </w:r>
      <w:r w:rsidRPr="00403E43">
        <w:rPr>
          <w:rFonts w:ascii="Arial" w:hAnsi="Arial" w:cs="Arial"/>
          <w:bCs/>
        </w:rPr>
        <w:t xml:space="preserve"> on behalf of the ACTIVATE Study Group </w:t>
      </w:r>
    </w:p>
    <w:p w:rsidR="00705AA8" w:rsidRPr="00403E43" w:rsidRDefault="00705AA8" w:rsidP="00705AA8">
      <w:pPr>
        <w:rPr>
          <w:rFonts w:ascii="Arial" w:hAnsi="Arial" w:cs="Arial"/>
          <w:vertAlign w:val="superscript"/>
        </w:rPr>
      </w:pPr>
    </w:p>
    <w:p w:rsidR="0004301C" w:rsidRPr="00403E43" w:rsidRDefault="00705AA8">
      <w:pPr>
        <w:rPr>
          <w:rFonts w:ascii="Arial" w:hAnsi="Arial" w:cs="Arial"/>
        </w:rPr>
      </w:pPr>
      <w:r w:rsidRPr="00403E43">
        <w:rPr>
          <w:rFonts w:ascii="Arial" w:hAnsi="Arial" w:cs="Arial"/>
          <w:vertAlign w:val="superscript"/>
        </w:rPr>
        <w:t>1</w:t>
      </w:r>
      <w:r w:rsidRPr="00403E43">
        <w:rPr>
          <w:rFonts w:ascii="Arial" w:hAnsi="Arial" w:cs="Arial"/>
        </w:rPr>
        <w:t>The Kirby Institute, UNSW Australia, Sydney, Australia</w:t>
      </w:r>
      <w:bookmarkStart w:id="0" w:name="_GoBack"/>
      <w:bookmarkEnd w:id="0"/>
      <w:r w:rsidRPr="00403E43">
        <w:rPr>
          <w:rFonts w:ascii="Arial" w:hAnsi="Arial" w:cs="Arial"/>
        </w:rPr>
        <w:t xml:space="preserve">, </w:t>
      </w:r>
      <w:r w:rsidRPr="00403E43">
        <w:rPr>
          <w:rFonts w:ascii="Arial" w:hAnsi="Arial" w:cs="Arial"/>
          <w:vertAlign w:val="superscript"/>
        </w:rPr>
        <w:t>2</w:t>
      </w:r>
      <w:r w:rsidRPr="00403E43">
        <w:rPr>
          <w:rFonts w:ascii="Arial" w:hAnsi="Arial" w:cs="Arial"/>
        </w:rPr>
        <w:t xml:space="preserve">Akershus University Hospital, Oslo, Norway, </w:t>
      </w:r>
      <w:r w:rsidRPr="00403E43">
        <w:rPr>
          <w:rFonts w:ascii="Arial" w:hAnsi="Arial" w:cs="Arial"/>
          <w:vertAlign w:val="superscript"/>
        </w:rPr>
        <w:t>3</w:t>
      </w:r>
      <w:r w:rsidRPr="00403E43">
        <w:rPr>
          <w:rFonts w:ascii="Arial" w:hAnsi="Arial" w:cs="Arial"/>
        </w:rPr>
        <w:t xml:space="preserve">Vancouver Infectious Diseases Center, Vancouver, Canada, </w:t>
      </w:r>
      <w:r w:rsidRPr="00403E43">
        <w:rPr>
          <w:rFonts w:ascii="Arial" w:hAnsi="Arial" w:cs="Arial"/>
          <w:vertAlign w:val="superscript"/>
        </w:rPr>
        <w:t>4</w:t>
      </w:r>
      <w:r w:rsidRPr="00403E43">
        <w:rPr>
          <w:rFonts w:ascii="Arial" w:hAnsi="Arial" w:cs="Arial"/>
        </w:rPr>
        <w:t xml:space="preserve">The Liver Unit, Queen </w:t>
      </w:r>
      <w:proofErr w:type="spellStart"/>
      <w:r w:rsidRPr="00403E43">
        <w:rPr>
          <w:rFonts w:ascii="Arial" w:hAnsi="Arial" w:cs="Arial"/>
        </w:rPr>
        <w:t>Marys</w:t>
      </w:r>
      <w:proofErr w:type="spellEnd"/>
      <w:r w:rsidRPr="00403E43">
        <w:rPr>
          <w:rFonts w:ascii="Arial" w:hAnsi="Arial" w:cs="Arial"/>
        </w:rPr>
        <w:t xml:space="preserve"> University of London, London, United Kingdom, </w:t>
      </w:r>
      <w:r w:rsidRPr="00403E43">
        <w:rPr>
          <w:rFonts w:ascii="Arial" w:hAnsi="Arial" w:cs="Arial"/>
          <w:vertAlign w:val="superscript"/>
        </w:rPr>
        <w:t>5</w:t>
      </w:r>
      <w:r w:rsidRPr="00403E43">
        <w:rPr>
          <w:rFonts w:ascii="Arial" w:hAnsi="Arial" w:cs="Arial"/>
        </w:rPr>
        <w:t xml:space="preserve">Arud </w:t>
      </w:r>
      <w:proofErr w:type="spellStart"/>
      <w:r w:rsidRPr="00403E43">
        <w:rPr>
          <w:rFonts w:ascii="Arial" w:hAnsi="Arial" w:cs="Arial"/>
        </w:rPr>
        <w:t>Centres</w:t>
      </w:r>
      <w:proofErr w:type="spellEnd"/>
      <w:r w:rsidRPr="00403E43">
        <w:rPr>
          <w:rFonts w:ascii="Arial" w:hAnsi="Arial" w:cs="Arial"/>
        </w:rPr>
        <w:t xml:space="preserve"> for Addiction Medicine, Zurich, Switzerland, </w:t>
      </w:r>
      <w:r w:rsidRPr="00403E43">
        <w:rPr>
          <w:rFonts w:ascii="Arial" w:hAnsi="Arial" w:cs="Arial"/>
          <w:vertAlign w:val="superscript"/>
        </w:rPr>
        <w:t>6</w:t>
      </w:r>
      <w:r w:rsidRPr="00403E43">
        <w:rPr>
          <w:rFonts w:ascii="Arial" w:hAnsi="Arial" w:cs="Arial"/>
        </w:rPr>
        <w:t xml:space="preserve">Ludwig </w:t>
      </w:r>
      <w:proofErr w:type="spellStart"/>
      <w:r w:rsidRPr="00403E43">
        <w:rPr>
          <w:rFonts w:ascii="Arial" w:hAnsi="Arial" w:cs="Arial"/>
        </w:rPr>
        <w:t>Maximilians</w:t>
      </w:r>
      <w:proofErr w:type="spellEnd"/>
      <w:r w:rsidRPr="00403E43">
        <w:rPr>
          <w:rFonts w:ascii="Arial" w:hAnsi="Arial" w:cs="Arial"/>
        </w:rPr>
        <w:t xml:space="preserve">-University Munich, Munich, Germany, </w:t>
      </w:r>
      <w:r w:rsidRPr="00403E43">
        <w:rPr>
          <w:rFonts w:ascii="Arial" w:hAnsi="Arial" w:cs="Arial"/>
          <w:vertAlign w:val="superscript"/>
        </w:rPr>
        <w:t>7</w:t>
      </w:r>
      <w:r w:rsidRPr="00403E43">
        <w:rPr>
          <w:rFonts w:ascii="Arial" w:hAnsi="Arial" w:cs="Arial"/>
        </w:rPr>
        <w:t xml:space="preserve">Department of Gastroenterology and Hepatology, </w:t>
      </w:r>
      <w:proofErr w:type="spellStart"/>
      <w:r w:rsidRPr="00403E43">
        <w:rPr>
          <w:rFonts w:ascii="Arial" w:hAnsi="Arial" w:cs="Arial"/>
        </w:rPr>
        <w:t>Ziekenhuis</w:t>
      </w:r>
      <w:proofErr w:type="spellEnd"/>
      <w:r w:rsidRPr="00403E43">
        <w:rPr>
          <w:rFonts w:ascii="Arial" w:hAnsi="Arial" w:cs="Arial"/>
        </w:rPr>
        <w:t xml:space="preserve"> </w:t>
      </w:r>
      <w:proofErr w:type="spellStart"/>
      <w:r w:rsidRPr="00403E43">
        <w:rPr>
          <w:rFonts w:ascii="Arial" w:hAnsi="Arial" w:cs="Arial"/>
        </w:rPr>
        <w:t>Oost</w:t>
      </w:r>
      <w:proofErr w:type="spellEnd"/>
      <w:r w:rsidRPr="00403E43">
        <w:rPr>
          <w:rFonts w:ascii="Arial" w:hAnsi="Arial" w:cs="Arial"/>
        </w:rPr>
        <w:t xml:space="preserve"> Limburg, Genk, </w:t>
      </w:r>
      <w:r w:rsidRPr="00403E43">
        <w:rPr>
          <w:rFonts w:ascii="Arial" w:hAnsi="Arial" w:cs="Arial"/>
          <w:vertAlign w:val="superscript"/>
        </w:rPr>
        <w:t>8</w:t>
      </w:r>
      <w:r w:rsidRPr="00403E43">
        <w:rPr>
          <w:rFonts w:ascii="Arial" w:hAnsi="Arial" w:cs="Arial"/>
        </w:rPr>
        <w:t xml:space="preserve">Department of Hepatology, UZ Leuven, Leuven, </w:t>
      </w:r>
      <w:r w:rsidRPr="00403E43">
        <w:rPr>
          <w:rFonts w:ascii="Arial" w:hAnsi="Arial" w:cs="Arial"/>
          <w:vertAlign w:val="superscript"/>
        </w:rPr>
        <w:t>9</w:t>
      </w:r>
      <w:r w:rsidRPr="00403E43">
        <w:rPr>
          <w:rFonts w:ascii="Arial" w:hAnsi="Arial" w:cs="Arial"/>
        </w:rPr>
        <w:t xml:space="preserve">UHasselt, Hasselt, Belgium, </w:t>
      </w:r>
      <w:r w:rsidRPr="00403E43">
        <w:rPr>
          <w:rFonts w:ascii="Arial" w:hAnsi="Arial" w:cs="Arial"/>
          <w:vertAlign w:val="superscript"/>
        </w:rPr>
        <w:t>10</w:t>
      </w:r>
      <w:r w:rsidRPr="00403E43">
        <w:rPr>
          <w:rFonts w:ascii="Arial" w:hAnsi="Arial" w:cs="Arial"/>
        </w:rPr>
        <w:t xml:space="preserve">Treatment Action Group, New York, United States, </w:t>
      </w:r>
      <w:r w:rsidRPr="00403E43">
        <w:rPr>
          <w:rFonts w:ascii="Arial" w:hAnsi="Arial" w:cs="Arial"/>
          <w:vertAlign w:val="superscript"/>
        </w:rPr>
        <w:t>11</w:t>
      </w:r>
      <w:r w:rsidRPr="00403E43">
        <w:rPr>
          <w:rFonts w:ascii="Arial" w:hAnsi="Arial" w:cs="Arial"/>
        </w:rPr>
        <w:t xml:space="preserve">Nepean Hospital, Sydney, </w:t>
      </w:r>
      <w:r w:rsidRPr="00403E43">
        <w:rPr>
          <w:rFonts w:ascii="Arial" w:hAnsi="Arial" w:cs="Arial"/>
          <w:vertAlign w:val="superscript"/>
        </w:rPr>
        <w:t>12</w:t>
      </w:r>
      <w:r w:rsidRPr="00403E43">
        <w:rPr>
          <w:rFonts w:ascii="Arial" w:hAnsi="Arial" w:cs="Arial"/>
        </w:rPr>
        <w:t xml:space="preserve">Royal Adelaide Hospital, Adelaide, </w:t>
      </w:r>
      <w:r w:rsidRPr="00403E43">
        <w:rPr>
          <w:rFonts w:ascii="Arial" w:hAnsi="Arial" w:cs="Arial"/>
          <w:vertAlign w:val="superscript"/>
        </w:rPr>
        <w:t>13</w:t>
      </w:r>
      <w:r w:rsidRPr="00403E43">
        <w:rPr>
          <w:rFonts w:ascii="Arial" w:hAnsi="Arial" w:cs="Arial"/>
        </w:rPr>
        <w:t xml:space="preserve">School of Medicine and Public Health, University of Newcastle, Newcastle, </w:t>
      </w:r>
      <w:r w:rsidRPr="00403E43">
        <w:rPr>
          <w:rFonts w:ascii="Arial" w:hAnsi="Arial" w:cs="Arial"/>
          <w:vertAlign w:val="superscript"/>
        </w:rPr>
        <w:t>14</w:t>
      </w:r>
      <w:r w:rsidRPr="00403E43">
        <w:rPr>
          <w:rFonts w:ascii="Arial" w:hAnsi="Arial" w:cs="Arial"/>
        </w:rPr>
        <w:t xml:space="preserve">Burnet Institute, Melbourne, Australia, </w:t>
      </w:r>
      <w:r w:rsidRPr="00403E43">
        <w:rPr>
          <w:rFonts w:ascii="Arial" w:hAnsi="Arial" w:cs="Arial"/>
          <w:vertAlign w:val="superscript"/>
        </w:rPr>
        <w:t>15</w:t>
      </w:r>
      <w:r w:rsidRPr="00403E43">
        <w:rPr>
          <w:rFonts w:ascii="Arial" w:hAnsi="Arial" w:cs="Arial"/>
        </w:rPr>
        <w:t xml:space="preserve">Universite de Montreal, Montreal, Canada, </w:t>
      </w:r>
      <w:r w:rsidRPr="00403E43">
        <w:rPr>
          <w:rFonts w:ascii="Arial" w:hAnsi="Arial" w:cs="Arial"/>
          <w:vertAlign w:val="superscript"/>
        </w:rPr>
        <w:t>16</w:t>
      </w:r>
      <w:r w:rsidRPr="00403E43">
        <w:rPr>
          <w:rFonts w:ascii="Arial" w:hAnsi="Arial" w:cs="Arial"/>
        </w:rPr>
        <w:t xml:space="preserve">Stuivenberg ZNA, Antwerp, Belgium, </w:t>
      </w:r>
      <w:r w:rsidRPr="00403E43">
        <w:rPr>
          <w:rFonts w:ascii="Arial" w:hAnsi="Arial" w:cs="Arial"/>
          <w:vertAlign w:val="superscript"/>
        </w:rPr>
        <w:t>17</w:t>
      </w:r>
      <w:r w:rsidRPr="00403E43">
        <w:rPr>
          <w:rFonts w:ascii="Arial" w:hAnsi="Arial" w:cs="Arial"/>
        </w:rPr>
        <w:t>Division of Infectious Diseases, University Hospital and University of Bern, Bern, Switzerland</w:t>
      </w:r>
    </w:p>
    <w:p w:rsidR="00435EA5" w:rsidRPr="00403E43" w:rsidRDefault="00435EA5">
      <w:pPr>
        <w:rPr>
          <w:rFonts w:ascii="Arial" w:hAnsi="Arial" w:cs="Arial"/>
        </w:rPr>
      </w:pPr>
    </w:p>
    <w:p w:rsidR="00705AA8" w:rsidRPr="00403E43" w:rsidRDefault="00435EA5" w:rsidP="00705AA8">
      <w:pPr>
        <w:rPr>
          <w:rFonts w:ascii="Arial" w:hAnsi="Arial" w:cs="Arial"/>
          <w:b/>
        </w:rPr>
      </w:pPr>
      <w:r w:rsidRPr="00403E43">
        <w:rPr>
          <w:rFonts w:ascii="Arial" w:hAnsi="Arial" w:cs="Arial"/>
          <w:b/>
        </w:rPr>
        <w:t>Introduction:</w:t>
      </w:r>
      <w:r w:rsidR="00705AA8" w:rsidRPr="00403E43">
        <w:rPr>
          <w:rFonts w:ascii="Arial" w:hAnsi="Arial" w:cs="Arial"/>
          <w:b/>
        </w:rPr>
        <w:t xml:space="preserve"> </w:t>
      </w:r>
      <w:r w:rsidR="00705AA8" w:rsidRPr="00403E43">
        <w:rPr>
          <w:rFonts w:ascii="Arial" w:hAnsi="Arial" w:cs="Arial"/>
        </w:rPr>
        <w:t xml:space="preserve">Despite guidelines advocating for HCV treatment among PWID, treatment uptake is low. The aim of this study was to evaluate response-guided </w:t>
      </w:r>
      <w:proofErr w:type="spellStart"/>
      <w:r w:rsidR="00705AA8" w:rsidRPr="00403E43">
        <w:rPr>
          <w:rFonts w:ascii="Arial" w:hAnsi="Arial" w:cs="Arial"/>
        </w:rPr>
        <w:t>pegylated</w:t>
      </w:r>
      <w:proofErr w:type="spellEnd"/>
      <w:r w:rsidR="00705AA8" w:rsidRPr="00403E43">
        <w:rPr>
          <w:rFonts w:ascii="Arial" w:hAnsi="Arial" w:cs="Arial"/>
        </w:rPr>
        <w:t xml:space="preserve"> interferon alfa-2b (PEG-IFN) and ribavirin (RBV) treatment for chronic HCV genotypes 2/3 (G2/3) among recent PWID.</w:t>
      </w:r>
    </w:p>
    <w:p w:rsidR="00435EA5" w:rsidRPr="00403E43" w:rsidRDefault="00435EA5">
      <w:pPr>
        <w:rPr>
          <w:rFonts w:ascii="Arial" w:hAnsi="Arial" w:cs="Arial"/>
        </w:rPr>
      </w:pPr>
    </w:p>
    <w:p w:rsidR="00705AA8" w:rsidRPr="00403E43" w:rsidRDefault="00435EA5" w:rsidP="00705AA8">
      <w:pPr>
        <w:rPr>
          <w:rFonts w:ascii="Arial" w:hAnsi="Arial" w:cs="Arial"/>
          <w:b/>
        </w:rPr>
      </w:pPr>
      <w:r w:rsidRPr="00403E43">
        <w:rPr>
          <w:rFonts w:ascii="Arial" w:hAnsi="Arial" w:cs="Arial"/>
          <w:b/>
        </w:rPr>
        <w:t>Methods:</w:t>
      </w:r>
      <w:r w:rsidR="00705AA8" w:rsidRPr="00403E43">
        <w:rPr>
          <w:rFonts w:ascii="Arial" w:hAnsi="Arial" w:cs="Arial"/>
          <w:b/>
        </w:rPr>
        <w:t xml:space="preserve"> </w:t>
      </w:r>
      <w:r w:rsidR="00705AA8" w:rsidRPr="00403E43">
        <w:rPr>
          <w:rFonts w:ascii="Arial" w:hAnsi="Arial" w:cs="Arial"/>
        </w:rPr>
        <w:t xml:space="preserve">Participants with chronic HCV G2/3 and recent injecting drug use (previous 12 weeks) or receiving opioid substitution treatment (OST) were recruited between 2012 and 2014. Participants received directly observed PEG-IFN (1.5 µg/kg/week) and self-administered RBV (800-1400 mg daily, weight-based). Participants with a rapid </w:t>
      </w:r>
      <w:proofErr w:type="spellStart"/>
      <w:r w:rsidR="00705AA8" w:rsidRPr="00403E43">
        <w:rPr>
          <w:rFonts w:ascii="Arial" w:hAnsi="Arial" w:cs="Arial"/>
        </w:rPr>
        <w:t>virological</w:t>
      </w:r>
      <w:proofErr w:type="spellEnd"/>
      <w:r w:rsidR="00705AA8" w:rsidRPr="00403E43">
        <w:rPr>
          <w:rFonts w:ascii="Arial" w:hAnsi="Arial" w:cs="Arial"/>
        </w:rPr>
        <w:t xml:space="preserve"> response (RVR) received 12 weeks (shortened duration) and those without RVR received 24 weeks (standard duration) therapy. The primary endpoint was sustained </w:t>
      </w:r>
      <w:proofErr w:type="spellStart"/>
      <w:r w:rsidR="00705AA8" w:rsidRPr="00403E43">
        <w:rPr>
          <w:rFonts w:ascii="Arial" w:hAnsi="Arial" w:cs="Arial"/>
        </w:rPr>
        <w:t>virological</w:t>
      </w:r>
      <w:proofErr w:type="spellEnd"/>
      <w:r w:rsidR="00705AA8" w:rsidRPr="00403E43">
        <w:rPr>
          <w:rFonts w:ascii="Arial" w:hAnsi="Arial" w:cs="Arial"/>
        </w:rPr>
        <w:t xml:space="preserve"> response at 12 weeks (SVR12) by intention to treat. </w:t>
      </w:r>
    </w:p>
    <w:p w:rsidR="00435EA5" w:rsidRPr="00403E43" w:rsidRDefault="00435EA5" w:rsidP="00435EA5">
      <w:pPr>
        <w:rPr>
          <w:rFonts w:ascii="Arial" w:hAnsi="Arial" w:cs="Arial"/>
        </w:rPr>
      </w:pPr>
    </w:p>
    <w:p w:rsidR="00705AA8" w:rsidRPr="00403E43" w:rsidRDefault="00435EA5" w:rsidP="00705AA8">
      <w:pPr>
        <w:rPr>
          <w:rFonts w:ascii="Arial" w:hAnsi="Arial" w:cs="Arial"/>
          <w:b/>
        </w:rPr>
      </w:pPr>
      <w:r w:rsidRPr="00403E43">
        <w:rPr>
          <w:rFonts w:ascii="Arial" w:hAnsi="Arial" w:cs="Arial"/>
          <w:b/>
        </w:rPr>
        <w:t>Results:</w:t>
      </w:r>
      <w:r w:rsidR="00705AA8" w:rsidRPr="00403E43">
        <w:rPr>
          <w:rFonts w:ascii="Arial" w:hAnsi="Arial" w:cs="Arial"/>
          <w:b/>
        </w:rPr>
        <w:t xml:space="preserve"> </w:t>
      </w:r>
      <w:r w:rsidR="00705AA8" w:rsidRPr="00403E43">
        <w:rPr>
          <w:rFonts w:ascii="Arial" w:hAnsi="Arial" w:cs="Arial"/>
          <w:color w:val="000000" w:themeColor="text1"/>
        </w:rPr>
        <w:t xml:space="preserve">93 participants initiated treatment (mean age 42 years; 82% male; 87% HCV G3), with 25% (n=23) receiving OST with no recent injecting, 17% (n=16) receiving OST with recent injecting, and 58% (n=58%) not receiving OST with recent injecting. Sixty-six percent (n=61) achieved RVR and received </w:t>
      </w:r>
      <w:r w:rsidR="00705AA8" w:rsidRPr="00403E43">
        <w:rPr>
          <w:rFonts w:ascii="Arial" w:hAnsi="Arial" w:cs="Arial"/>
        </w:rPr>
        <w:t>shortened treatment, while 28% (n=</w:t>
      </w:r>
      <w:r w:rsidR="00705AA8" w:rsidRPr="00403E43">
        <w:rPr>
          <w:rFonts w:ascii="Arial" w:hAnsi="Arial" w:cs="Arial"/>
          <w:color w:val="000000" w:themeColor="text1"/>
        </w:rPr>
        <w:t>26) did not achieve RVR and received standard treatment.</w:t>
      </w:r>
      <w:r w:rsidR="00705AA8" w:rsidRPr="00403E43">
        <w:rPr>
          <w:rFonts w:ascii="Arial" w:hAnsi="Arial" w:cs="Arial"/>
        </w:rPr>
        <w:t xml:space="preserve"> SVR12 was 62% (58/93). Therapy was discontinued prior to week four in 6% (n=6). </w:t>
      </w:r>
      <w:r w:rsidR="00705AA8" w:rsidRPr="00403E43">
        <w:rPr>
          <w:rFonts w:ascii="Arial" w:hAnsi="Arial" w:cs="Arial"/>
          <w:color w:val="000000" w:themeColor="text1"/>
        </w:rPr>
        <w:t>SVR12 was 79% (48/61) in those with RVR (shortened treatment) compared to 38% (10/26) in those without RVR (standard treatment)</w:t>
      </w:r>
      <w:r w:rsidR="00705AA8" w:rsidRPr="00403E43">
        <w:rPr>
          <w:rFonts w:ascii="Arial" w:hAnsi="Arial" w:cs="Arial"/>
        </w:rPr>
        <w:t xml:space="preserve">. SVR was similar among OST non-injecting, OST injecting and non-OST injecting groups (68% vs. 63% vs. 86%, P=0.446). In multivariate analyses, RVR was the only factor associated with SVR (OR=7.51; 95% CI: 2.38, 23.73; </w:t>
      </w:r>
      <w:r w:rsidR="00705AA8" w:rsidRPr="00403E43">
        <w:rPr>
          <w:rFonts w:ascii="Arial" w:hAnsi="Arial" w:cs="Arial"/>
          <w:iCs/>
        </w:rPr>
        <w:t>P</w:t>
      </w:r>
      <w:r w:rsidR="00705AA8" w:rsidRPr="00403E43">
        <w:rPr>
          <w:rFonts w:ascii="Arial" w:hAnsi="Arial" w:cs="Arial"/>
        </w:rPr>
        <w:t xml:space="preserve">&lt;0.001). </w:t>
      </w:r>
    </w:p>
    <w:p w:rsidR="00435EA5" w:rsidRPr="00403E43" w:rsidRDefault="00435EA5" w:rsidP="00435EA5">
      <w:pPr>
        <w:rPr>
          <w:rFonts w:ascii="Arial" w:hAnsi="Arial" w:cs="Arial"/>
        </w:rPr>
      </w:pPr>
    </w:p>
    <w:p w:rsidR="00435EA5" w:rsidRPr="00403E43" w:rsidRDefault="00435EA5" w:rsidP="00435EA5">
      <w:pPr>
        <w:rPr>
          <w:rFonts w:ascii="Arial" w:hAnsi="Arial" w:cs="Arial"/>
          <w:b/>
        </w:rPr>
      </w:pPr>
      <w:r w:rsidRPr="00403E43">
        <w:rPr>
          <w:rFonts w:ascii="Arial" w:hAnsi="Arial" w:cs="Arial"/>
          <w:b/>
        </w:rPr>
        <w:t>Conclusion:</w:t>
      </w:r>
      <w:r w:rsidR="00705AA8" w:rsidRPr="00403E43">
        <w:rPr>
          <w:rFonts w:ascii="Arial" w:hAnsi="Arial" w:cs="Arial"/>
          <w:color w:val="000000" w:themeColor="text1"/>
        </w:rPr>
        <w:t xml:space="preserve"> Among PWID with chronic HCV G2/3, </w:t>
      </w:r>
      <w:r w:rsidR="00705AA8" w:rsidRPr="00403E43">
        <w:rPr>
          <w:rFonts w:ascii="Arial" w:hAnsi="Arial" w:cs="Arial"/>
        </w:rPr>
        <w:t>on-treatment RVR allowed shortened treatment duration and remained a strong predictor of SVR. Injecting drug use at baseline was not associated with reduced response to therapy. These data suggest that among PWID with chronic HCV G2/3 and an RVR, shortened PEG-IFN/RBV treatment may be a feasible strategy.</w:t>
      </w:r>
    </w:p>
    <w:p w:rsidR="00435EA5" w:rsidRPr="00403E43" w:rsidRDefault="00435EA5" w:rsidP="00435EA5">
      <w:pPr>
        <w:rPr>
          <w:rFonts w:ascii="Arial" w:hAnsi="Arial" w:cs="Arial"/>
        </w:rPr>
      </w:pPr>
    </w:p>
    <w:p w:rsidR="00435EA5" w:rsidRPr="00403E43" w:rsidRDefault="00D755F5" w:rsidP="00705A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03E43">
        <w:rPr>
          <w:rFonts w:ascii="Arial" w:hAnsi="Arial" w:cs="Arial"/>
          <w:b/>
          <w:color w:val="000000"/>
        </w:rPr>
        <w:t>Disclosure of Interest Statement:</w:t>
      </w:r>
      <w:r w:rsidR="00705AA8" w:rsidRPr="00403E43">
        <w:rPr>
          <w:rFonts w:ascii="Arial" w:hAnsi="Arial" w:cs="Arial"/>
          <w:b/>
          <w:bCs/>
          <w:color w:val="000000"/>
        </w:rPr>
        <w:t xml:space="preserve"> </w:t>
      </w:r>
      <w:r w:rsidR="00705AA8" w:rsidRPr="00403E43">
        <w:rPr>
          <w:rFonts w:ascii="Arial" w:hAnsi="Arial" w:cs="Arial"/>
          <w:color w:val="000000"/>
        </w:rPr>
        <w:t xml:space="preserve">The Kirby Institute is funded by the Australian Government Department of Health and Ageing. This study was funded by Merck, Sharp &amp; </w:t>
      </w:r>
      <w:proofErr w:type="spellStart"/>
      <w:r w:rsidR="00705AA8" w:rsidRPr="00403E43">
        <w:rPr>
          <w:rFonts w:ascii="Arial" w:hAnsi="Arial" w:cs="Arial"/>
          <w:color w:val="000000"/>
        </w:rPr>
        <w:t>Dohme</w:t>
      </w:r>
      <w:proofErr w:type="spellEnd"/>
      <w:r w:rsidR="00705AA8" w:rsidRPr="00403E43">
        <w:rPr>
          <w:rFonts w:ascii="Arial" w:hAnsi="Arial" w:cs="Arial"/>
          <w:color w:val="000000"/>
        </w:rPr>
        <w:t>.</w:t>
      </w:r>
    </w:p>
    <w:sectPr w:rsidR="00435EA5" w:rsidRPr="00403E43" w:rsidSect="00403E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19" w:rsidRDefault="00376D19" w:rsidP="006303EA">
      <w:r>
        <w:separator/>
      </w:r>
    </w:p>
  </w:endnote>
  <w:endnote w:type="continuationSeparator" w:id="0">
    <w:p w:rsidR="00376D19" w:rsidRDefault="00376D19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19" w:rsidRDefault="00376D19" w:rsidP="006303EA">
      <w:r>
        <w:separator/>
      </w:r>
    </w:p>
  </w:footnote>
  <w:footnote w:type="continuationSeparator" w:id="0">
    <w:p w:rsidR="00376D19" w:rsidRDefault="00376D19" w:rsidP="00630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27CE9"/>
    <w:rsid w:val="00032DD3"/>
    <w:rsid w:val="0004301C"/>
    <w:rsid w:val="001731BA"/>
    <w:rsid w:val="0021121E"/>
    <w:rsid w:val="00254C5A"/>
    <w:rsid w:val="00376D19"/>
    <w:rsid w:val="00403E43"/>
    <w:rsid w:val="00435EA5"/>
    <w:rsid w:val="005C51E2"/>
    <w:rsid w:val="006303EA"/>
    <w:rsid w:val="006D4409"/>
    <w:rsid w:val="00705AA8"/>
    <w:rsid w:val="00753449"/>
    <w:rsid w:val="00B32CC1"/>
    <w:rsid w:val="00B45670"/>
    <w:rsid w:val="00C30437"/>
    <w:rsid w:val="00C53098"/>
    <w:rsid w:val="00D755F5"/>
    <w:rsid w:val="00DC6454"/>
    <w:rsid w:val="00F04EC5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  <w:style w:type="character" w:customStyle="1" w:styleId="bodytext">
    <w:name w:val="bodytext"/>
    <w:basedOn w:val="DefaultParagraphFont"/>
    <w:uiPriority w:val="99"/>
    <w:rsid w:val="00D755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CBA8-C56F-45E8-B27F-941A1086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3</cp:revision>
  <dcterms:created xsi:type="dcterms:W3CDTF">2015-06-16T23:48:00Z</dcterms:created>
  <dcterms:modified xsi:type="dcterms:W3CDTF">2015-06-23T00:02:00Z</dcterms:modified>
</cp:coreProperties>
</file>