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16" w:rsidRPr="00D6295E" w:rsidRDefault="00D153BF" w:rsidP="005C74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295E">
        <w:rPr>
          <w:rFonts w:ascii="Arial" w:hAnsi="Arial" w:cs="Arial"/>
          <w:b/>
          <w:sz w:val="24"/>
          <w:szCs w:val="24"/>
        </w:rPr>
        <w:t>BLOOD BORNE VIRUS RISK BEHAVIOURS AMONG PEOPLE WHO INJECT DRUGS IN THE UK: A QUALITATIVE EXPLORATION</w:t>
      </w:r>
    </w:p>
    <w:p w:rsidR="00F31D16" w:rsidRPr="00D6295E" w:rsidRDefault="00F31D16" w:rsidP="005C74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1D16" w:rsidRPr="00D6295E" w:rsidRDefault="00F31D16" w:rsidP="005C7431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D6295E">
        <w:rPr>
          <w:rFonts w:ascii="Arial" w:hAnsi="Arial" w:cs="Arial"/>
          <w:sz w:val="24"/>
          <w:szCs w:val="24"/>
          <w:u w:val="single"/>
        </w:rPr>
        <w:t>Swan</w:t>
      </w:r>
      <w:r w:rsidR="00D153BF" w:rsidRPr="00D6295E">
        <w:rPr>
          <w:rFonts w:ascii="Arial" w:hAnsi="Arial" w:cs="Arial"/>
          <w:sz w:val="24"/>
          <w:szCs w:val="24"/>
          <w:u w:val="single"/>
        </w:rPr>
        <w:t xml:space="preserve"> D</w:t>
      </w:r>
      <w:r w:rsidRPr="00D6295E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Pr="00D6295E">
        <w:rPr>
          <w:rFonts w:ascii="Arial" w:hAnsi="Arial" w:cs="Arial"/>
          <w:sz w:val="24"/>
          <w:szCs w:val="24"/>
          <w:u w:val="single"/>
        </w:rPr>
        <w:t>,</w:t>
      </w:r>
      <w:r w:rsidR="00D153BF" w:rsidRPr="00D6295E">
        <w:rPr>
          <w:rFonts w:ascii="Arial" w:hAnsi="Arial" w:cs="Arial"/>
          <w:sz w:val="24"/>
          <w:szCs w:val="24"/>
        </w:rPr>
        <w:t xml:space="preserve"> </w:t>
      </w:r>
      <w:r w:rsidRPr="00D6295E">
        <w:rPr>
          <w:rFonts w:ascii="Arial" w:hAnsi="Arial" w:cs="Arial"/>
          <w:sz w:val="24"/>
          <w:szCs w:val="24"/>
        </w:rPr>
        <w:t>Shaw</w:t>
      </w:r>
      <w:r w:rsidR="00D153BF" w:rsidRPr="00D6295E">
        <w:rPr>
          <w:rFonts w:ascii="Arial" w:hAnsi="Arial" w:cs="Arial"/>
          <w:sz w:val="24"/>
          <w:szCs w:val="24"/>
        </w:rPr>
        <w:t xml:space="preserve"> A</w:t>
      </w:r>
      <w:r w:rsidR="002B3878" w:rsidRPr="00D6295E">
        <w:rPr>
          <w:rFonts w:ascii="Arial" w:hAnsi="Arial" w:cs="Arial"/>
          <w:sz w:val="24"/>
          <w:szCs w:val="24"/>
          <w:vertAlign w:val="superscript"/>
        </w:rPr>
        <w:t>2</w:t>
      </w:r>
      <w:r w:rsidR="00D153BF" w:rsidRPr="00D6295E">
        <w:rPr>
          <w:rFonts w:ascii="Arial" w:hAnsi="Arial" w:cs="Arial"/>
          <w:sz w:val="24"/>
          <w:szCs w:val="24"/>
        </w:rPr>
        <w:t xml:space="preserve">, </w:t>
      </w:r>
      <w:r w:rsidRPr="00D6295E">
        <w:rPr>
          <w:rFonts w:ascii="Arial" w:hAnsi="Arial" w:cs="Arial"/>
          <w:sz w:val="24"/>
          <w:szCs w:val="24"/>
        </w:rPr>
        <w:t>Towers</w:t>
      </w:r>
      <w:r w:rsidR="00D153BF" w:rsidRPr="00D6295E">
        <w:rPr>
          <w:rFonts w:ascii="Arial" w:hAnsi="Arial" w:cs="Arial"/>
          <w:sz w:val="24"/>
          <w:szCs w:val="24"/>
        </w:rPr>
        <w:t xml:space="preserve"> S</w:t>
      </w:r>
      <w:r w:rsidR="002B3878" w:rsidRPr="00D6295E">
        <w:rPr>
          <w:rFonts w:ascii="Arial" w:hAnsi="Arial" w:cs="Arial"/>
          <w:sz w:val="24"/>
          <w:szCs w:val="24"/>
          <w:vertAlign w:val="superscript"/>
        </w:rPr>
        <w:t>3</w:t>
      </w:r>
      <w:r w:rsidR="00D153BF" w:rsidRPr="00D629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95E">
        <w:rPr>
          <w:rFonts w:ascii="Arial" w:hAnsi="Arial" w:cs="Arial"/>
          <w:sz w:val="24"/>
          <w:szCs w:val="24"/>
        </w:rPr>
        <w:t>Mdege</w:t>
      </w:r>
      <w:proofErr w:type="spellEnd"/>
      <w:r w:rsidR="00D153BF" w:rsidRPr="00D6295E">
        <w:rPr>
          <w:rFonts w:ascii="Arial" w:hAnsi="Arial" w:cs="Arial"/>
          <w:sz w:val="24"/>
          <w:szCs w:val="24"/>
        </w:rPr>
        <w:t xml:space="preserve"> N</w:t>
      </w:r>
      <w:r w:rsidR="002B3878" w:rsidRPr="00D6295E">
        <w:rPr>
          <w:rFonts w:ascii="Arial" w:hAnsi="Arial" w:cs="Arial"/>
          <w:sz w:val="24"/>
          <w:szCs w:val="24"/>
          <w:vertAlign w:val="superscript"/>
        </w:rPr>
        <w:t>4</w:t>
      </w:r>
      <w:r w:rsidR="00D153BF" w:rsidRPr="00D629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95E">
        <w:rPr>
          <w:rFonts w:ascii="Arial" w:hAnsi="Arial" w:cs="Arial"/>
          <w:sz w:val="24"/>
          <w:szCs w:val="24"/>
        </w:rPr>
        <w:t>Craine</w:t>
      </w:r>
      <w:proofErr w:type="spellEnd"/>
      <w:r w:rsidR="00D153BF" w:rsidRPr="00D6295E">
        <w:rPr>
          <w:rFonts w:ascii="Arial" w:hAnsi="Arial" w:cs="Arial"/>
          <w:sz w:val="24"/>
          <w:szCs w:val="24"/>
        </w:rPr>
        <w:t xml:space="preserve"> N</w:t>
      </w:r>
      <w:r w:rsidR="002B3878" w:rsidRPr="00D6295E">
        <w:rPr>
          <w:rFonts w:ascii="Arial" w:hAnsi="Arial" w:cs="Arial"/>
          <w:sz w:val="24"/>
          <w:szCs w:val="24"/>
          <w:vertAlign w:val="superscript"/>
        </w:rPr>
        <w:t>5</w:t>
      </w:r>
      <w:r w:rsidR="00D153BF" w:rsidRPr="00D629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95E">
        <w:rPr>
          <w:rFonts w:ascii="Arial" w:hAnsi="Arial" w:cs="Arial"/>
          <w:sz w:val="24"/>
          <w:szCs w:val="24"/>
        </w:rPr>
        <w:t>Widyaratna</w:t>
      </w:r>
      <w:proofErr w:type="spellEnd"/>
      <w:r w:rsidR="00D153BF" w:rsidRPr="00D6295E">
        <w:rPr>
          <w:rFonts w:ascii="Arial" w:hAnsi="Arial" w:cs="Arial"/>
          <w:sz w:val="24"/>
          <w:szCs w:val="24"/>
        </w:rPr>
        <w:t xml:space="preserve"> K</w:t>
      </w:r>
      <w:r w:rsidR="002B3878" w:rsidRPr="00D6295E">
        <w:rPr>
          <w:rFonts w:ascii="Arial" w:hAnsi="Arial" w:cs="Arial"/>
          <w:sz w:val="24"/>
          <w:szCs w:val="24"/>
          <w:vertAlign w:val="superscript"/>
        </w:rPr>
        <w:t>1</w:t>
      </w:r>
      <w:r w:rsidR="00D153BF" w:rsidRPr="00D6295E">
        <w:rPr>
          <w:rFonts w:ascii="Arial" w:hAnsi="Arial" w:cs="Arial"/>
          <w:sz w:val="24"/>
          <w:szCs w:val="24"/>
        </w:rPr>
        <w:t xml:space="preserve">, </w:t>
      </w:r>
      <w:r w:rsidRPr="00D6295E">
        <w:rPr>
          <w:rFonts w:ascii="Arial" w:hAnsi="Arial" w:cs="Arial"/>
          <w:sz w:val="24"/>
          <w:szCs w:val="24"/>
        </w:rPr>
        <w:t>Munro</w:t>
      </w:r>
      <w:r w:rsidR="00D153BF" w:rsidRPr="00D6295E">
        <w:rPr>
          <w:rFonts w:ascii="Arial" w:hAnsi="Arial" w:cs="Arial"/>
          <w:sz w:val="24"/>
          <w:szCs w:val="24"/>
        </w:rPr>
        <w:t xml:space="preserve"> A</w:t>
      </w:r>
      <w:r w:rsidR="002B3878" w:rsidRPr="00D6295E">
        <w:rPr>
          <w:rFonts w:ascii="Arial" w:hAnsi="Arial" w:cs="Arial"/>
          <w:sz w:val="24"/>
          <w:szCs w:val="24"/>
          <w:vertAlign w:val="superscript"/>
        </w:rPr>
        <w:t>2</w:t>
      </w:r>
      <w:r w:rsidR="00D153BF" w:rsidRPr="00D6295E">
        <w:rPr>
          <w:rFonts w:ascii="Arial" w:hAnsi="Arial" w:cs="Arial"/>
          <w:sz w:val="24"/>
          <w:szCs w:val="24"/>
        </w:rPr>
        <w:t>,</w:t>
      </w:r>
      <w:r w:rsidRPr="00D6295E">
        <w:rPr>
          <w:rFonts w:ascii="Arial" w:hAnsi="Arial" w:cs="Arial"/>
          <w:sz w:val="24"/>
          <w:szCs w:val="24"/>
        </w:rPr>
        <w:t xml:space="preserve"> Hughes</w:t>
      </w:r>
      <w:r w:rsidR="00D153BF" w:rsidRPr="00D6295E">
        <w:rPr>
          <w:rFonts w:ascii="Arial" w:hAnsi="Arial" w:cs="Arial"/>
          <w:sz w:val="24"/>
          <w:szCs w:val="24"/>
        </w:rPr>
        <w:t xml:space="preserve"> L</w:t>
      </w:r>
      <w:r w:rsidR="002B3878" w:rsidRPr="00D6295E">
        <w:rPr>
          <w:rFonts w:ascii="Arial" w:hAnsi="Arial" w:cs="Arial"/>
          <w:sz w:val="24"/>
          <w:szCs w:val="24"/>
          <w:vertAlign w:val="superscript"/>
        </w:rPr>
        <w:t>6</w:t>
      </w:r>
      <w:r w:rsidR="00D153BF" w:rsidRPr="00D629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95E">
        <w:rPr>
          <w:rFonts w:ascii="Arial" w:hAnsi="Arial" w:cs="Arial"/>
          <w:sz w:val="24"/>
          <w:szCs w:val="24"/>
        </w:rPr>
        <w:t>Strang</w:t>
      </w:r>
      <w:proofErr w:type="spellEnd"/>
      <w:r w:rsidR="00D153BF" w:rsidRPr="00D6295E">
        <w:rPr>
          <w:rFonts w:ascii="Arial" w:hAnsi="Arial" w:cs="Arial"/>
          <w:sz w:val="24"/>
          <w:szCs w:val="24"/>
        </w:rPr>
        <w:t xml:space="preserve"> J</w:t>
      </w:r>
      <w:r w:rsidR="002B3878" w:rsidRPr="00D6295E">
        <w:rPr>
          <w:rFonts w:ascii="Arial" w:hAnsi="Arial" w:cs="Arial"/>
          <w:sz w:val="24"/>
          <w:szCs w:val="24"/>
          <w:vertAlign w:val="superscript"/>
        </w:rPr>
        <w:t>1</w:t>
      </w:r>
      <w:r w:rsidR="00D153BF" w:rsidRPr="00D6295E">
        <w:rPr>
          <w:rFonts w:ascii="Arial" w:hAnsi="Arial" w:cs="Arial"/>
          <w:sz w:val="24"/>
          <w:szCs w:val="24"/>
        </w:rPr>
        <w:t xml:space="preserve">, </w:t>
      </w:r>
      <w:r w:rsidRPr="00D6295E">
        <w:rPr>
          <w:rFonts w:ascii="Arial" w:hAnsi="Arial" w:cs="Arial"/>
          <w:sz w:val="24"/>
          <w:szCs w:val="24"/>
        </w:rPr>
        <w:t>Taylor</w:t>
      </w:r>
      <w:r w:rsidR="00D153BF" w:rsidRPr="00D6295E">
        <w:rPr>
          <w:rFonts w:ascii="Arial" w:hAnsi="Arial" w:cs="Arial"/>
          <w:sz w:val="24"/>
          <w:szCs w:val="24"/>
        </w:rPr>
        <w:t xml:space="preserve"> A</w:t>
      </w:r>
      <w:r w:rsidR="002B3878" w:rsidRPr="00D6295E">
        <w:rPr>
          <w:rFonts w:ascii="Arial" w:hAnsi="Arial" w:cs="Arial"/>
          <w:sz w:val="24"/>
          <w:szCs w:val="24"/>
          <w:vertAlign w:val="superscript"/>
        </w:rPr>
        <w:t>2</w:t>
      </w:r>
      <w:r w:rsidRPr="00D6295E">
        <w:rPr>
          <w:rFonts w:ascii="Arial" w:hAnsi="Arial" w:cs="Arial"/>
          <w:sz w:val="24"/>
          <w:szCs w:val="24"/>
        </w:rPr>
        <w:t>, Gilchrist</w:t>
      </w:r>
      <w:r w:rsidR="00D153BF" w:rsidRPr="00D6295E">
        <w:rPr>
          <w:rFonts w:ascii="Arial" w:hAnsi="Arial" w:cs="Arial"/>
          <w:sz w:val="24"/>
          <w:szCs w:val="24"/>
        </w:rPr>
        <w:t xml:space="preserve"> G</w:t>
      </w:r>
      <w:r w:rsidR="002B3878" w:rsidRPr="00D6295E">
        <w:rPr>
          <w:rFonts w:ascii="Arial" w:hAnsi="Arial" w:cs="Arial"/>
          <w:sz w:val="24"/>
          <w:szCs w:val="24"/>
          <w:vertAlign w:val="superscript"/>
        </w:rPr>
        <w:t>1</w:t>
      </w:r>
    </w:p>
    <w:p w:rsidR="002B3878" w:rsidRPr="00D6295E" w:rsidRDefault="002B3878" w:rsidP="005C7431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2B3878" w:rsidRPr="00D6295E" w:rsidRDefault="002B3878" w:rsidP="005C74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D6295E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D6295E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National Addiction Centre, Institute of Psychiatry, Psychology and Neuroscience, King’s College London, UK</w:t>
      </w:r>
    </w:p>
    <w:p w:rsidR="002B3878" w:rsidRPr="00D6295E" w:rsidRDefault="002B3878" w:rsidP="005C74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D6295E">
        <w:rPr>
          <w:rFonts w:ascii="Arial" w:eastAsia="Times New Roman" w:hAnsi="Arial" w:cs="Arial"/>
          <w:color w:val="333333"/>
          <w:sz w:val="24"/>
          <w:szCs w:val="24"/>
          <w:vertAlign w:val="superscript"/>
          <w:lang w:val="en" w:eastAsia="en-GB"/>
        </w:rPr>
        <w:t>2</w:t>
      </w:r>
      <w:r w:rsidRPr="00D6295E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</w:t>
      </w:r>
      <w:proofErr w:type="gramStart"/>
      <w:r w:rsidRPr="00D6295E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School</w:t>
      </w:r>
      <w:proofErr w:type="gramEnd"/>
      <w:r w:rsidRPr="00D6295E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of Media, Culture &amp; Society, University of the West of Scotland, UK</w:t>
      </w:r>
    </w:p>
    <w:p w:rsidR="002B3878" w:rsidRPr="00D6295E" w:rsidRDefault="002B3878" w:rsidP="005C74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D6295E">
        <w:rPr>
          <w:rFonts w:ascii="Arial" w:eastAsia="Times New Roman" w:hAnsi="Arial" w:cs="Arial"/>
          <w:color w:val="333333"/>
          <w:sz w:val="24"/>
          <w:szCs w:val="24"/>
          <w:vertAlign w:val="superscript"/>
          <w:lang w:val="en" w:eastAsia="en-GB"/>
        </w:rPr>
        <w:t>3</w:t>
      </w:r>
      <w:r w:rsidRPr="00D6295E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</w:t>
      </w:r>
      <w:proofErr w:type="spellStart"/>
      <w:r w:rsidRPr="00D6295E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Betsi</w:t>
      </w:r>
      <w:proofErr w:type="spellEnd"/>
      <w:r w:rsidRPr="00D6295E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</w:t>
      </w:r>
      <w:proofErr w:type="spellStart"/>
      <w:r w:rsidRPr="00D6295E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Cadwaladr</w:t>
      </w:r>
      <w:proofErr w:type="spellEnd"/>
      <w:r w:rsidRPr="00D6295E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University Health Board, NHS Wales, UK</w:t>
      </w:r>
    </w:p>
    <w:p w:rsidR="002B3878" w:rsidRPr="00D6295E" w:rsidRDefault="002B3878" w:rsidP="005C74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D6295E">
        <w:rPr>
          <w:rFonts w:ascii="Arial" w:eastAsia="Times New Roman" w:hAnsi="Arial" w:cs="Arial"/>
          <w:color w:val="333333"/>
          <w:sz w:val="24"/>
          <w:szCs w:val="24"/>
          <w:vertAlign w:val="superscript"/>
          <w:lang w:val="en" w:eastAsia="en-GB"/>
        </w:rPr>
        <w:t>4</w:t>
      </w:r>
      <w:r w:rsidRPr="00D6295E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Department of Health Sciences, Faculty of Science, University of York, UK</w:t>
      </w:r>
    </w:p>
    <w:p w:rsidR="002B3878" w:rsidRPr="00D6295E" w:rsidRDefault="002B3878" w:rsidP="005C74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D6295E">
        <w:rPr>
          <w:rFonts w:ascii="Arial" w:eastAsia="Times New Roman" w:hAnsi="Arial" w:cs="Arial"/>
          <w:color w:val="333333"/>
          <w:sz w:val="24"/>
          <w:szCs w:val="24"/>
          <w:vertAlign w:val="superscript"/>
          <w:lang w:val="en" w:eastAsia="en-GB"/>
        </w:rPr>
        <w:t>5</w:t>
      </w:r>
      <w:r w:rsidRPr="00D6295E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Microbiology </w:t>
      </w:r>
      <w:proofErr w:type="gramStart"/>
      <w:r w:rsidRPr="00D6295E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Department</w:t>
      </w:r>
      <w:proofErr w:type="gramEnd"/>
      <w:r w:rsidRPr="00D6295E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, Public Health Wales, UK</w:t>
      </w:r>
    </w:p>
    <w:p w:rsidR="002B3878" w:rsidRPr="00D6295E" w:rsidRDefault="002B3878" w:rsidP="005C7431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D6295E">
        <w:rPr>
          <w:rFonts w:ascii="Arial" w:hAnsi="Arial" w:cs="Arial"/>
          <w:color w:val="333333"/>
          <w:vertAlign w:val="superscript"/>
          <w:lang w:val="en"/>
        </w:rPr>
        <w:t>6</w:t>
      </w:r>
      <w:r w:rsidRPr="00D6295E">
        <w:rPr>
          <w:rFonts w:ascii="Arial" w:hAnsi="Arial" w:cs="Arial"/>
          <w:color w:val="333333"/>
          <w:lang w:val="en"/>
        </w:rPr>
        <w:t xml:space="preserve"> </w:t>
      </w:r>
      <w:proofErr w:type="gramStart"/>
      <w:r w:rsidRPr="00D6295E">
        <w:rPr>
          <w:rFonts w:ascii="Arial" w:hAnsi="Arial" w:cs="Arial"/>
          <w:color w:val="333333"/>
        </w:rPr>
        <w:t>School</w:t>
      </w:r>
      <w:proofErr w:type="gramEnd"/>
      <w:r w:rsidRPr="00D6295E">
        <w:rPr>
          <w:rFonts w:ascii="Arial" w:hAnsi="Arial" w:cs="Arial"/>
          <w:color w:val="333333"/>
        </w:rPr>
        <w:t xml:space="preserve"> of Human and Health Sciences, University of </w:t>
      </w:r>
      <w:proofErr w:type="spellStart"/>
      <w:r w:rsidRPr="00D6295E">
        <w:rPr>
          <w:rFonts w:ascii="Arial" w:hAnsi="Arial" w:cs="Arial"/>
          <w:color w:val="333333"/>
        </w:rPr>
        <w:t>Hudderfield</w:t>
      </w:r>
      <w:proofErr w:type="spellEnd"/>
      <w:r w:rsidRPr="00D6295E">
        <w:rPr>
          <w:rFonts w:ascii="Arial" w:hAnsi="Arial" w:cs="Arial"/>
          <w:color w:val="333333"/>
        </w:rPr>
        <w:t>, UK</w:t>
      </w:r>
    </w:p>
    <w:p w:rsidR="00F31D16" w:rsidRPr="00D6295E" w:rsidRDefault="00F31D16" w:rsidP="005C74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75EB" w:rsidRPr="00D6295E" w:rsidRDefault="00F775EB" w:rsidP="005C7431">
      <w:pPr>
        <w:spacing w:line="240" w:lineRule="auto"/>
        <w:rPr>
          <w:rFonts w:ascii="Arial" w:hAnsi="Arial" w:cs="Arial"/>
          <w:sz w:val="24"/>
          <w:szCs w:val="24"/>
        </w:rPr>
      </w:pPr>
      <w:r w:rsidRPr="00D6295E">
        <w:rPr>
          <w:rFonts w:ascii="Arial" w:hAnsi="Arial" w:cs="Arial"/>
          <w:b/>
          <w:iCs/>
          <w:sz w:val="24"/>
          <w:szCs w:val="24"/>
        </w:rPr>
        <w:t>Background</w:t>
      </w:r>
      <w:r w:rsidR="005D6E55" w:rsidRPr="00D6295E">
        <w:rPr>
          <w:rFonts w:ascii="Arial" w:hAnsi="Arial" w:cs="Arial"/>
          <w:b/>
          <w:iCs/>
          <w:sz w:val="24"/>
          <w:szCs w:val="24"/>
        </w:rPr>
        <w:t>:</w:t>
      </w:r>
      <w:r w:rsidR="00F31D16" w:rsidRPr="00D6295E">
        <w:rPr>
          <w:rFonts w:ascii="Arial" w:hAnsi="Arial" w:cs="Arial"/>
          <w:sz w:val="24"/>
          <w:szCs w:val="24"/>
        </w:rPr>
        <w:t xml:space="preserve"> In the UK, 33%-56% of people who inject drugs (PWID) have Hepatitis C. HIV (0-1%) and Hepatitis B (6-18%) rates are lower. As part of a large</w:t>
      </w:r>
      <w:r w:rsidR="00E7516F" w:rsidRPr="00D6295E">
        <w:rPr>
          <w:rFonts w:ascii="Arial" w:hAnsi="Arial" w:cs="Arial"/>
          <w:sz w:val="24"/>
          <w:szCs w:val="24"/>
        </w:rPr>
        <w:t>r study to develop and feasibility test</w:t>
      </w:r>
      <w:r w:rsidR="00F31D16" w:rsidRPr="00D6295E">
        <w:rPr>
          <w:rFonts w:ascii="Arial" w:hAnsi="Arial" w:cs="Arial"/>
          <w:sz w:val="24"/>
          <w:szCs w:val="24"/>
        </w:rPr>
        <w:t xml:space="preserve"> an evidence-based psychosocial intervention to prevent blood borne virus (BBV) infection among PWID in the UK, a sub-study was conducted exploring the influences on injection- and sexual- risk behaviour among PWID and the type of psychosocial interventions they would find useful. </w:t>
      </w:r>
    </w:p>
    <w:p w:rsidR="00F775EB" w:rsidRPr="00D6295E" w:rsidRDefault="00F775EB" w:rsidP="005C7431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D6295E">
        <w:rPr>
          <w:rFonts w:ascii="Arial" w:hAnsi="Arial" w:cs="Arial"/>
          <w:b/>
          <w:iCs/>
          <w:sz w:val="24"/>
          <w:szCs w:val="24"/>
        </w:rPr>
        <w:t>Methods</w:t>
      </w:r>
      <w:r w:rsidR="005D6E55" w:rsidRPr="00D6295E">
        <w:rPr>
          <w:rFonts w:ascii="Arial" w:hAnsi="Arial" w:cs="Arial"/>
          <w:b/>
          <w:iCs/>
          <w:sz w:val="24"/>
          <w:szCs w:val="24"/>
        </w:rPr>
        <w:t>:</w:t>
      </w:r>
      <w:r w:rsidR="00F31D16" w:rsidRPr="00D6295E">
        <w:rPr>
          <w:rFonts w:ascii="Arial" w:hAnsi="Arial" w:cs="Arial"/>
          <w:iCs/>
          <w:sz w:val="24"/>
          <w:szCs w:val="24"/>
        </w:rPr>
        <w:t xml:space="preserve"> </w:t>
      </w:r>
      <w:r w:rsidR="00DB05DA" w:rsidRPr="00D6295E">
        <w:rPr>
          <w:rFonts w:ascii="Arial" w:hAnsi="Arial" w:cs="Arial"/>
          <w:b/>
          <w:iCs/>
          <w:sz w:val="24"/>
          <w:szCs w:val="24"/>
        </w:rPr>
        <w:t>Design</w:t>
      </w:r>
      <w:r w:rsidR="00D6295E">
        <w:rPr>
          <w:rFonts w:ascii="Arial" w:hAnsi="Arial" w:cs="Arial"/>
          <w:b/>
          <w:iCs/>
          <w:sz w:val="24"/>
          <w:szCs w:val="24"/>
        </w:rPr>
        <w:t>:</w:t>
      </w:r>
      <w:r w:rsidR="00DB05DA" w:rsidRPr="00D6295E">
        <w:rPr>
          <w:rFonts w:ascii="Arial" w:hAnsi="Arial" w:cs="Arial"/>
          <w:iCs/>
          <w:sz w:val="24"/>
          <w:szCs w:val="24"/>
        </w:rPr>
        <w:t xml:space="preserve"> </w:t>
      </w:r>
      <w:r w:rsidR="00F31D16" w:rsidRPr="00D6295E">
        <w:rPr>
          <w:rFonts w:ascii="Arial" w:hAnsi="Arial" w:cs="Arial"/>
          <w:iCs/>
          <w:sz w:val="24"/>
          <w:szCs w:val="24"/>
        </w:rPr>
        <w:t xml:space="preserve">Qualitative interview </w:t>
      </w:r>
      <w:r w:rsidR="00F31D16" w:rsidRPr="00D6295E">
        <w:rPr>
          <w:rFonts w:ascii="Arial" w:hAnsi="Arial" w:cs="Arial"/>
          <w:sz w:val="24"/>
          <w:szCs w:val="24"/>
        </w:rPr>
        <w:t xml:space="preserve">study </w:t>
      </w:r>
      <w:r w:rsidR="00F31D16" w:rsidRPr="00D6295E">
        <w:rPr>
          <w:rFonts w:ascii="Arial" w:hAnsi="Arial" w:cs="Arial"/>
          <w:b/>
          <w:sz w:val="24"/>
          <w:szCs w:val="24"/>
        </w:rPr>
        <w:t>Setting</w:t>
      </w:r>
      <w:r w:rsidR="00D6295E">
        <w:rPr>
          <w:rFonts w:ascii="Arial" w:hAnsi="Arial" w:cs="Arial"/>
          <w:b/>
          <w:sz w:val="24"/>
          <w:szCs w:val="24"/>
        </w:rPr>
        <w:t>:</w:t>
      </w:r>
      <w:r w:rsidR="00F31D16" w:rsidRPr="00D6295E">
        <w:rPr>
          <w:rFonts w:ascii="Arial" w:hAnsi="Arial" w:cs="Arial"/>
          <w:sz w:val="24"/>
          <w:szCs w:val="24"/>
        </w:rPr>
        <w:t xml:space="preserve"> Sexual health services, needle exchanges, drug treatment/harm reduction services and homeless hostels in London, Yorkshire, Glasgow and North Wales.</w:t>
      </w:r>
      <w:r w:rsidR="00F31D16" w:rsidRPr="00D6295E">
        <w:rPr>
          <w:rFonts w:ascii="Arial" w:hAnsi="Arial" w:cs="Arial"/>
          <w:b/>
          <w:sz w:val="24"/>
          <w:szCs w:val="24"/>
        </w:rPr>
        <w:t xml:space="preserve"> Participants</w:t>
      </w:r>
      <w:r w:rsidR="00D6295E">
        <w:rPr>
          <w:rFonts w:ascii="Arial" w:hAnsi="Arial" w:cs="Arial"/>
          <w:b/>
          <w:sz w:val="24"/>
          <w:szCs w:val="24"/>
        </w:rPr>
        <w:t>:</w:t>
      </w:r>
      <w:r w:rsidR="00F31D16" w:rsidRPr="00D6295E">
        <w:rPr>
          <w:rFonts w:ascii="Arial" w:hAnsi="Arial" w:cs="Arial"/>
          <w:sz w:val="24"/>
          <w:szCs w:val="24"/>
        </w:rPr>
        <w:t xml:space="preserve"> Convenience sample of 60 ‘current injectors’ purposively sampled based on gend</w:t>
      </w:r>
      <w:bookmarkStart w:id="0" w:name="_GoBack"/>
      <w:bookmarkEnd w:id="0"/>
      <w:r w:rsidR="00F31D16" w:rsidRPr="00D6295E">
        <w:rPr>
          <w:rFonts w:ascii="Arial" w:hAnsi="Arial" w:cs="Arial"/>
          <w:sz w:val="24"/>
          <w:szCs w:val="24"/>
        </w:rPr>
        <w:t>er, length of time injecting, and drugs injected</w:t>
      </w:r>
      <w:r w:rsidR="00F31D16" w:rsidRPr="00D6295E">
        <w:rPr>
          <w:rFonts w:ascii="Arial" w:hAnsi="Arial" w:cs="Arial"/>
          <w:b/>
          <w:sz w:val="24"/>
          <w:szCs w:val="24"/>
        </w:rPr>
        <w:t>. Measurements</w:t>
      </w:r>
      <w:r w:rsidR="00D6295E">
        <w:rPr>
          <w:rFonts w:ascii="Arial" w:hAnsi="Arial" w:cs="Arial"/>
          <w:b/>
          <w:sz w:val="24"/>
          <w:szCs w:val="24"/>
        </w:rPr>
        <w:t>:</w:t>
      </w:r>
      <w:r w:rsidR="00F31D16" w:rsidRPr="00D6295E">
        <w:rPr>
          <w:rFonts w:ascii="Arial" w:hAnsi="Arial" w:cs="Arial"/>
          <w:sz w:val="24"/>
          <w:szCs w:val="24"/>
        </w:rPr>
        <w:t xml:space="preserve"> </w:t>
      </w:r>
      <w:r w:rsidR="00F31D16" w:rsidRPr="00D6295E">
        <w:rPr>
          <w:rFonts w:ascii="Arial" w:hAnsi="Arial" w:cs="Arial"/>
          <w:iCs/>
          <w:sz w:val="24"/>
          <w:szCs w:val="24"/>
        </w:rPr>
        <w:t xml:space="preserve">In-depth interviews analysed using Framework Analysis. </w:t>
      </w:r>
    </w:p>
    <w:p w:rsidR="00F775EB" w:rsidRPr="00D6295E" w:rsidRDefault="00F775EB" w:rsidP="005C7431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D6295E">
        <w:rPr>
          <w:rFonts w:ascii="Arial" w:hAnsi="Arial" w:cs="Arial"/>
          <w:b/>
          <w:iCs/>
          <w:sz w:val="24"/>
          <w:szCs w:val="24"/>
        </w:rPr>
        <w:t>Results</w:t>
      </w:r>
      <w:r w:rsidR="005D6E55" w:rsidRPr="00D6295E">
        <w:rPr>
          <w:rFonts w:ascii="Arial" w:hAnsi="Arial" w:cs="Arial"/>
          <w:b/>
          <w:iCs/>
          <w:sz w:val="24"/>
          <w:szCs w:val="24"/>
        </w:rPr>
        <w:t>:</w:t>
      </w:r>
      <w:r w:rsidR="00F31D16" w:rsidRPr="00D6295E">
        <w:rPr>
          <w:rFonts w:ascii="Arial" w:hAnsi="Arial" w:cs="Arial"/>
          <w:iCs/>
          <w:sz w:val="24"/>
          <w:szCs w:val="24"/>
        </w:rPr>
        <w:t xml:space="preserve"> Individual, situational, and structural factors influenced BBV risks. Participants usually ascribed risk behaviour to the pressures of withdrawal, craving and intoxicatio</w:t>
      </w:r>
      <w:r w:rsidR="00DB05DA" w:rsidRPr="00D6295E">
        <w:rPr>
          <w:rFonts w:ascii="Arial" w:hAnsi="Arial" w:cs="Arial"/>
          <w:iCs/>
          <w:sz w:val="24"/>
          <w:szCs w:val="24"/>
        </w:rPr>
        <w:t xml:space="preserve">n. Lack of knowledge, </w:t>
      </w:r>
      <w:r w:rsidR="00F31D16" w:rsidRPr="00D6295E">
        <w:rPr>
          <w:rFonts w:ascii="Arial" w:hAnsi="Arial" w:cs="Arial"/>
          <w:iCs/>
          <w:sz w:val="24"/>
          <w:szCs w:val="24"/>
        </w:rPr>
        <w:t>inexperience</w:t>
      </w:r>
      <w:r w:rsidR="00DB05DA" w:rsidRPr="00D6295E">
        <w:rPr>
          <w:rFonts w:ascii="Arial" w:hAnsi="Arial" w:cs="Arial"/>
          <w:iCs/>
          <w:sz w:val="24"/>
          <w:szCs w:val="24"/>
        </w:rPr>
        <w:t xml:space="preserve"> injecting</w:t>
      </w:r>
      <w:r w:rsidR="00F31D16" w:rsidRPr="00D6295E">
        <w:rPr>
          <w:rFonts w:ascii="Arial" w:hAnsi="Arial" w:cs="Arial"/>
          <w:iCs/>
          <w:sz w:val="24"/>
          <w:szCs w:val="24"/>
        </w:rPr>
        <w:t xml:space="preserve">, and poor vascular access also promoted unsafe practices. Interpersonal relationships based on trust, intimacy and/or dominance, and group norms and dynamics, also influenced risk. Unstable housing and sex work diminished participants’ agency to manage risk. Opiate substitution treatment, stable housing, and a BBV diagnosis were some of the factors promoting behaviour change. Participants also pointed to the importance of access to clean injecting equipment and condoms. </w:t>
      </w:r>
    </w:p>
    <w:p w:rsidR="00F31D16" w:rsidRPr="00D6295E" w:rsidRDefault="00F775EB" w:rsidP="005C7431">
      <w:pPr>
        <w:spacing w:line="240" w:lineRule="auto"/>
        <w:rPr>
          <w:rFonts w:ascii="Arial" w:hAnsi="Arial" w:cs="Arial"/>
          <w:sz w:val="24"/>
          <w:szCs w:val="24"/>
        </w:rPr>
      </w:pPr>
      <w:r w:rsidRPr="00D6295E">
        <w:rPr>
          <w:rFonts w:ascii="Arial" w:hAnsi="Arial" w:cs="Arial"/>
          <w:b/>
          <w:iCs/>
          <w:sz w:val="24"/>
          <w:szCs w:val="24"/>
        </w:rPr>
        <w:t>Conclusions:</w:t>
      </w:r>
      <w:r w:rsidRPr="00D6295E">
        <w:rPr>
          <w:rFonts w:ascii="Arial" w:hAnsi="Arial" w:cs="Arial"/>
          <w:iCs/>
          <w:sz w:val="24"/>
          <w:szCs w:val="24"/>
        </w:rPr>
        <w:t xml:space="preserve"> </w:t>
      </w:r>
      <w:r w:rsidR="00F31D16" w:rsidRPr="00D6295E">
        <w:rPr>
          <w:rFonts w:ascii="Arial" w:hAnsi="Arial" w:cs="Arial"/>
          <w:iCs/>
          <w:sz w:val="24"/>
          <w:szCs w:val="24"/>
        </w:rPr>
        <w:t>Individual, situational and structural factors drive vulnerability to BBV infection among PWID and multi-faceted interventions are necessary.</w:t>
      </w:r>
    </w:p>
    <w:p w:rsidR="00DA0DBE" w:rsidRPr="00D6295E" w:rsidRDefault="00DA0DBE" w:rsidP="00DA0DBE">
      <w:pPr>
        <w:spacing w:after="0"/>
        <w:rPr>
          <w:rFonts w:ascii="Arial" w:hAnsi="Arial" w:cs="Arial"/>
          <w:sz w:val="24"/>
          <w:szCs w:val="24"/>
        </w:rPr>
      </w:pPr>
      <w:r w:rsidRPr="00D6295E">
        <w:rPr>
          <w:rFonts w:ascii="Arial" w:hAnsi="Arial" w:cs="Arial"/>
          <w:b/>
          <w:sz w:val="24"/>
          <w:szCs w:val="24"/>
        </w:rPr>
        <w:t>Disclosure of Interest Statement:</w:t>
      </w:r>
      <w:r w:rsidR="00D6295E">
        <w:rPr>
          <w:rFonts w:ascii="Arial" w:hAnsi="Arial" w:cs="Arial"/>
          <w:b/>
          <w:sz w:val="24"/>
          <w:szCs w:val="24"/>
        </w:rPr>
        <w:t xml:space="preserve"> </w:t>
      </w:r>
      <w:r w:rsidRPr="00D6295E">
        <w:rPr>
          <w:rFonts w:ascii="Arial" w:hAnsi="Arial" w:cs="Arial"/>
          <w:sz w:val="24"/>
          <w:szCs w:val="24"/>
        </w:rPr>
        <w:t>The authors declare that they have no conflicts of interest.</w:t>
      </w:r>
    </w:p>
    <w:sectPr w:rsidR="00DA0DBE" w:rsidRPr="00D62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16"/>
    <w:rsid w:val="00236F2D"/>
    <w:rsid w:val="002B3878"/>
    <w:rsid w:val="002F4F48"/>
    <w:rsid w:val="005C7431"/>
    <w:rsid w:val="005D6E55"/>
    <w:rsid w:val="009B192E"/>
    <w:rsid w:val="00A33F8C"/>
    <w:rsid w:val="00D153BF"/>
    <w:rsid w:val="00D6295E"/>
    <w:rsid w:val="00DA0DBE"/>
    <w:rsid w:val="00DB05DA"/>
    <w:rsid w:val="00E7516F"/>
    <w:rsid w:val="00F31D16"/>
    <w:rsid w:val="00F7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D16"/>
    <w:rPr>
      <w:strike w:val="0"/>
      <w:dstrike w:val="0"/>
      <w:color w:val="316C9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B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D16"/>
    <w:rPr>
      <w:strike w:val="0"/>
      <w:dstrike w:val="0"/>
      <w:color w:val="316C9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B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C2D92-BB4F-4DED-A5EC-A12A393826DD}"/>
</file>

<file path=customXml/itemProps2.xml><?xml version="1.0" encoding="utf-8"?>
<ds:datastoreItem xmlns:ds="http://schemas.openxmlformats.org/officeDocument/2006/customXml" ds:itemID="{61968FBB-D5E1-4BD5-88BD-DACFA908A409}"/>
</file>

<file path=customXml/itemProps3.xml><?xml version="1.0" encoding="utf-8"?>
<ds:datastoreItem xmlns:ds="http://schemas.openxmlformats.org/officeDocument/2006/customXml" ds:itemID="{190947E8-5671-4436-96A4-ACFF9B417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King's College London</dc:creator>
  <cp:lastModifiedBy>Rini Das</cp:lastModifiedBy>
  <cp:revision>14</cp:revision>
  <dcterms:created xsi:type="dcterms:W3CDTF">2015-11-10T13:31:00Z</dcterms:created>
  <dcterms:modified xsi:type="dcterms:W3CDTF">2016-04-22T02:06:00Z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