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41" w:rsidRDefault="00097241" w:rsidP="005A2078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97241">
        <w:rPr>
          <w:rFonts w:ascii="Arial" w:hAnsi="Arial" w:cs="Arial"/>
          <w:b/>
          <w:sz w:val="24"/>
          <w:szCs w:val="24"/>
        </w:rPr>
        <w:t xml:space="preserve">MOLECULAR EPIDEMIOLOGY OF FULL-LENGTH, EARLY INFECTION, HEPATITIS C VIRUS GENOMES AMONG </w:t>
      </w:r>
      <w:r w:rsidR="007C18BC">
        <w:rPr>
          <w:rFonts w:ascii="Arial" w:hAnsi="Arial" w:cs="Arial"/>
          <w:b/>
          <w:sz w:val="24"/>
          <w:szCs w:val="24"/>
        </w:rPr>
        <w:t>INJECTING DRUG USERS</w:t>
      </w:r>
      <w:r w:rsidRPr="00097241">
        <w:rPr>
          <w:rFonts w:ascii="Arial" w:hAnsi="Arial" w:cs="Arial"/>
          <w:b/>
          <w:sz w:val="24"/>
          <w:szCs w:val="24"/>
        </w:rPr>
        <w:t xml:space="preserve"> WITH RECENT INFECTION: THE InC3 STUDY</w:t>
      </w:r>
    </w:p>
    <w:p w:rsidR="005A2078" w:rsidRPr="00097241" w:rsidRDefault="005A2078" w:rsidP="005A2078">
      <w:pPr>
        <w:pStyle w:val="Standard"/>
        <w:spacing w:after="0"/>
        <w:rPr>
          <w:rFonts w:ascii="Arial" w:hAnsi="Arial" w:cs="Arial"/>
          <w:b/>
          <w:sz w:val="24"/>
          <w:szCs w:val="24"/>
        </w:rPr>
      </w:pPr>
    </w:p>
    <w:p w:rsidR="00097241" w:rsidRPr="00097241" w:rsidRDefault="00097241" w:rsidP="005A2078">
      <w:pPr>
        <w:rPr>
          <w:rFonts w:ascii="Arial" w:hAnsi="Arial" w:cs="Arial"/>
          <w:sz w:val="24"/>
          <w:szCs w:val="24"/>
        </w:rPr>
      </w:pPr>
      <w:r w:rsidRPr="00097241">
        <w:rPr>
          <w:rFonts w:ascii="Arial" w:hAnsi="Arial" w:cs="Arial"/>
          <w:sz w:val="24"/>
          <w:szCs w:val="24"/>
          <w:u w:val="single"/>
        </w:rPr>
        <w:t>Rodrigo</w:t>
      </w:r>
      <w:r w:rsidR="002146E8">
        <w:rPr>
          <w:rFonts w:ascii="Arial" w:hAnsi="Arial" w:cs="Arial"/>
          <w:sz w:val="24"/>
          <w:szCs w:val="24"/>
          <w:u w:val="single"/>
        </w:rPr>
        <w:t xml:space="preserve"> C</w:t>
      </w:r>
      <w:r w:rsidRPr="00097241">
        <w:rPr>
          <w:rFonts w:ascii="Arial" w:hAnsi="Arial" w:cs="Arial"/>
          <w:sz w:val="24"/>
          <w:szCs w:val="24"/>
          <w:vertAlign w:val="superscript"/>
        </w:rPr>
        <w:t>1</w:t>
      </w:r>
      <w:r w:rsidRPr="000972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7241">
        <w:rPr>
          <w:rFonts w:ascii="Arial" w:hAnsi="Arial" w:cs="Arial"/>
          <w:sz w:val="24"/>
          <w:szCs w:val="24"/>
        </w:rPr>
        <w:t>Eltahla</w:t>
      </w:r>
      <w:proofErr w:type="spellEnd"/>
      <w:r w:rsidR="002146E8">
        <w:rPr>
          <w:rFonts w:ascii="Arial" w:hAnsi="Arial" w:cs="Arial"/>
          <w:sz w:val="24"/>
          <w:szCs w:val="24"/>
        </w:rPr>
        <w:t xml:space="preserve"> A</w:t>
      </w:r>
      <w:r w:rsidRPr="00097241">
        <w:rPr>
          <w:rFonts w:ascii="Arial" w:hAnsi="Arial" w:cs="Arial"/>
          <w:sz w:val="24"/>
          <w:szCs w:val="24"/>
          <w:vertAlign w:val="superscript"/>
        </w:rPr>
        <w:t>1</w:t>
      </w:r>
      <w:r w:rsidRPr="00097241">
        <w:rPr>
          <w:rFonts w:ascii="Arial" w:hAnsi="Arial" w:cs="Arial"/>
          <w:sz w:val="24"/>
          <w:szCs w:val="24"/>
        </w:rPr>
        <w:t>, Bull</w:t>
      </w:r>
      <w:r w:rsidR="002146E8">
        <w:rPr>
          <w:rFonts w:ascii="Arial" w:hAnsi="Arial" w:cs="Arial"/>
          <w:sz w:val="24"/>
          <w:szCs w:val="24"/>
        </w:rPr>
        <w:t xml:space="preserve"> RA</w:t>
      </w:r>
      <w:r w:rsidRPr="00097241">
        <w:rPr>
          <w:rFonts w:ascii="Arial" w:hAnsi="Arial" w:cs="Arial"/>
          <w:sz w:val="24"/>
          <w:szCs w:val="24"/>
          <w:vertAlign w:val="superscript"/>
        </w:rPr>
        <w:t>1</w:t>
      </w:r>
      <w:r w:rsidRPr="000972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7241">
        <w:rPr>
          <w:rFonts w:ascii="Arial" w:hAnsi="Arial" w:cs="Arial"/>
          <w:sz w:val="24"/>
          <w:szCs w:val="24"/>
        </w:rPr>
        <w:t>Luciani</w:t>
      </w:r>
      <w:proofErr w:type="spellEnd"/>
      <w:r w:rsidR="002146E8">
        <w:rPr>
          <w:rFonts w:ascii="Arial" w:hAnsi="Arial" w:cs="Arial"/>
          <w:sz w:val="24"/>
          <w:szCs w:val="24"/>
        </w:rPr>
        <w:t xml:space="preserve"> F</w:t>
      </w:r>
      <w:r w:rsidRPr="00097241">
        <w:rPr>
          <w:rFonts w:ascii="Arial" w:hAnsi="Arial" w:cs="Arial"/>
          <w:sz w:val="24"/>
          <w:szCs w:val="24"/>
          <w:vertAlign w:val="superscript"/>
        </w:rPr>
        <w:t>1</w:t>
      </w:r>
      <w:r w:rsidRPr="000972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7241">
        <w:rPr>
          <w:rFonts w:ascii="Arial" w:hAnsi="Arial" w:cs="Arial"/>
          <w:sz w:val="24"/>
          <w:szCs w:val="24"/>
        </w:rPr>
        <w:t>Grebely</w:t>
      </w:r>
      <w:proofErr w:type="spellEnd"/>
      <w:r w:rsidR="002146E8">
        <w:rPr>
          <w:rFonts w:ascii="Arial" w:hAnsi="Arial" w:cs="Arial"/>
          <w:sz w:val="24"/>
          <w:szCs w:val="24"/>
        </w:rPr>
        <w:t xml:space="preserve"> J</w:t>
      </w:r>
      <w:r w:rsidRPr="00097241">
        <w:rPr>
          <w:rFonts w:ascii="Arial" w:hAnsi="Arial" w:cs="Arial"/>
          <w:sz w:val="24"/>
          <w:szCs w:val="24"/>
          <w:vertAlign w:val="superscript"/>
        </w:rPr>
        <w:t>2</w:t>
      </w:r>
      <w:r w:rsidRPr="00097241">
        <w:rPr>
          <w:rFonts w:ascii="Arial" w:hAnsi="Arial" w:cs="Arial"/>
          <w:sz w:val="24"/>
          <w:szCs w:val="24"/>
        </w:rPr>
        <w:t>, Dore</w:t>
      </w:r>
      <w:r w:rsidR="002146E8">
        <w:rPr>
          <w:rFonts w:ascii="Arial" w:hAnsi="Arial" w:cs="Arial"/>
          <w:sz w:val="24"/>
          <w:szCs w:val="24"/>
        </w:rPr>
        <w:t xml:space="preserve"> GJ</w:t>
      </w:r>
      <w:r w:rsidRPr="00097241">
        <w:rPr>
          <w:rFonts w:ascii="Arial" w:hAnsi="Arial" w:cs="Arial"/>
          <w:sz w:val="24"/>
          <w:szCs w:val="24"/>
          <w:vertAlign w:val="superscript"/>
        </w:rPr>
        <w:t>2</w:t>
      </w:r>
      <w:r w:rsidRPr="00097241">
        <w:rPr>
          <w:rFonts w:ascii="Arial" w:hAnsi="Arial" w:cs="Arial"/>
          <w:sz w:val="24"/>
          <w:szCs w:val="24"/>
        </w:rPr>
        <w:t>, Applegate</w:t>
      </w:r>
      <w:r w:rsidR="002146E8">
        <w:rPr>
          <w:rFonts w:ascii="Arial" w:hAnsi="Arial" w:cs="Arial"/>
          <w:sz w:val="24"/>
          <w:szCs w:val="24"/>
        </w:rPr>
        <w:t xml:space="preserve"> T</w:t>
      </w:r>
      <w:r w:rsidRPr="00097241">
        <w:rPr>
          <w:rFonts w:ascii="Arial" w:hAnsi="Arial" w:cs="Arial"/>
          <w:sz w:val="24"/>
          <w:szCs w:val="24"/>
          <w:vertAlign w:val="superscript"/>
        </w:rPr>
        <w:t>2</w:t>
      </w:r>
      <w:r w:rsidRPr="00097241">
        <w:rPr>
          <w:rFonts w:ascii="Arial" w:hAnsi="Arial" w:cs="Arial"/>
          <w:sz w:val="24"/>
          <w:szCs w:val="24"/>
        </w:rPr>
        <w:t>, Page</w:t>
      </w:r>
      <w:r w:rsidR="002146E8">
        <w:rPr>
          <w:rFonts w:ascii="Arial" w:hAnsi="Arial" w:cs="Arial"/>
          <w:sz w:val="24"/>
          <w:szCs w:val="24"/>
        </w:rPr>
        <w:t xml:space="preserve"> K</w:t>
      </w:r>
      <w:r w:rsidRPr="00097241">
        <w:rPr>
          <w:rFonts w:ascii="Arial" w:hAnsi="Arial" w:cs="Arial"/>
          <w:sz w:val="24"/>
          <w:szCs w:val="24"/>
          <w:vertAlign w:val="superscript"/>
        </w:rPr>
        <w:t>3</w:t>
      </w:r>
      <w:r w:rsidRPr="000972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7241">
        <w:rPr>
          <w:rFonts w:ascii="Arial" w:hAnsi="Arial" w:cs="Arial"/>
          <w:sz w:val="24"/>
          <w:szCs w:val="24"/>
        </w:rPr>
        <w:t>Bruneau</w:t>
      </w:r>
      <w:proofErr w:type="spellEnd"/>
      <w:r w:rsidR="002146E8">
        <w:rPr>
          <w:rFonts w:ascii="Arial" w:hAnsi="Arial" w:cs="Arial"/>
          <w:sz w:val="24"/>
          <w:szCs w:val="24"/>
        </w:rPr>
        <w:t xml:space="preserve"> J</w:t>
      </w:r>
      <w:r w:rsidRPr="00097241">
        <w:rPr>
          <w:rFonts w:ascii="Arial" w:hAnsi="Arial" w:cs="Arial"/>
          <w:sz w:val="24"/>
          <w:szCs w:val="24"/>
          <w:vertAlign w:val="superscript"/>
        </w:rPr>
        <w:t>4</w:t>
      </w:r>
      <w:r w:rsidRPr="00097241">
        <w:rPr>
          <w:rFonts w:ascii="Arial" w:hAnsi="Arial" w:cs="Arial"/>
          <w:sz w:val="24"/>
          <w:szCs w:val="24"/>
        </w:rPr>
        <w:t>, Morris</w:t>
      </w:r>
      <w:r w:rsidR="002146E8">
        <w:rPr>
          <w:rFonts w:ascii="Arial" w:hAnsi="Arial" w:cs="Arial"/>
          <w:sz w:val="24"/>
          <w:szCs w:val="24"/>
        </w:rPr>
        <w:t xml:space="preserve"> MD</w:t>
      </w:r>
      <w:r w:rsidRPr="00097241">
        <w:rPr>
          <w:rFonts w:ascii="Arial" w:hAnsi="Arial" w:cs="Arial"/>
          <w:sz w:val="24"/>
          <w:szCs w:val="24"/>
          <w:vertAlign w:val="superscript"/>
        </w:rPr>
        <w:t>5</w:t>
      </w:r>
      <w:r w:rsidRPr="00097241">
        <w:rPr>
          <w:rFonts w:ascii="Arial" w:hAnsi="Arial" w:cs="Arial"/>
          <w:sz w:val="24"/>
          <w:szCs w:val="24"/>
        </w:rPr>
        <w:t>, Cox</w:t>
      </w:r>
      <w:r w:rsidR="002146E8">
        <w:rPr>
          <w:rFonts w:ascii="Arial" w:hAnsi="Arial" w:cs="Arial"/>
          <w:sz w:val="24"/>
          <w:szCs w:val="24"/>
        </w:rPr>
        <w:t xml:space="preserve"> AL</w:t>
      </w:r>
      <w:r w:rsidRPr="00097241">
        <w:rPr>
          <w:rFonts w:ascii="Arial" w:hAnsi="Arial" w:cs="Arial"/>
          <w:sz w:val="24"/>
          <w:szCs w:val="24"/>
          <w:vertAlign w:val="superscript"/>
        </w:rPr>
        <w:t>6</w:t>
      </w:r>
      <w:r w:rsidRPr="000972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7241">
        <w:rPr>
          <w:rFonts w:ascii="Arial" w:hAnsi="Arial" w:cs="Arial"/>
          <w:sz w:val="24"/>
          <w:szCs w:val="24"/>
        </w:rPr>
        <w:t>Osburn</w:t>
      </w:r>
      <w:proofErr w:type="spellEnd"/>
      <w:r w:rsidR="002146E8">
        <w:rPr>
          <w:rFonts w:ascii="Arial" w:hAnsi="Arial" w:cs="Arial"/>
          <w:sz w:val="24"/>
          <w:szCs w:val="24"/>
        </w:rPr>
        <w:t xml:space="preserve"> W</w:t>
      </w:r>
      <w:r w:rsidRPr="00097241">
        <w:rPr>
          <w:rFonts w:ascii="Arial" w:hAnsi="Arial" w:cs="Arial"/>
          <w:sz w:val="24"/>
          <w:szCs w:val="24"/>
          <w:vertAlign w:val="superscript"/>
        </w:rPr>
        <w:t>6</w:t>
      </w:r>
      <w:r w:rsidRPr="00097241">
        <w:rPr>
          <w:rFonts w:ascii="Arial" w:hAnsi="Arial" w:cs="Arial"/>
          <w:sz w:val="24"/>
          <w:szCs w:val="24"/>
        </w:rPr>
        <w:t>, Kim</w:t>
      </w:r>
      <w:r w:rsidR="002146E8">
        <w:rPr>
          <w:rFonts w:ascii="Arial" w:hAnsi="Arial" w:cs="Arial"/>
          <w:sz w:val="24"/>
          <w:szCs w:val="24"/>
        </w:rPr>
        <w:t xml:space="preserve"> AY</w:t>
      </w:r>
      <w:r w:rsidRPr="00097241">
        <w:rPr>
          <w:rFonts w:ascii="Arial" w:hAnsi="Arial" w:cs="Arial"/>
          <w:sz w:val="24"/>
          <w:szCs w:val="24"/>
          <w:vertAlign w:val="superscript"/>
        </w:rPr>
        <w:t>7</w:t>
      </w:r>
      <w:r w:rsidRPr="000972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7241">
        <w:rPr>
          <w:rFonts w:ascii="Arial" w:hAnsi="Arial" w:cs="Arial"/>
          <w:sz w:val="24"/>
          <w:szCs w:val="24"/>
        </w:rPr>
        <w:t>Shoukry</w:t>
      </w:r>
      <w:proofErr w:type="spellEnd"/>
      <w:r w:rsidR="002146E8">
        <w:rPr>
          <w:rFonts w:ascii="Arial" w:hAnsi="Arial" w:cs="Arial"/>
          <w:sz w:val="24"/>
          <w:szCs w:val="24"/>
        </w:rPr>
        <w:t xml:space="preserve"> NH</w:t>
      </w:r>
      <w:r w:rsidRPr="00097241">
        <w:rPr>
          <w:rFonts w:ascii="Arial" w:hAnsi="Arial" w:cs="Arial"/>
          <w:sz w:val="24"/>
          <w:szCs w:val="24"/>
          <w:vertAlign w:val="superscript"/>
        </w:rPr>
        <w:t>4</w:t>
      </w:r>
      <w:r w:rsidRPr="00097241">
        <w:rPr>
          <w:rFonts w:ascii="Arial" w:hAnsi="Arial" w:cs="Arial"/>
          <w:sz w:val="24"/>
          <w:szCs w:val="24"/>
        </w:rPr>
        <w:t>, Lauer</w:t>
      </w:r>
      <w:r w:rsidR="002146E8">
        <w:rPr>
          <w:rFonts w:ascii="Arial" w:hAnsi="Arial" w:cs="Arial"/>
          <w:sz w:val="24"/>
          <w:szCs w:val="24"/>
        </w:rPr>
        <w:t xml:space="preserve"> GM</w:t>
      </w:r>
      <w:r w:rsidRPr="00097241">
        <w:rPr>
          <w:rFonts w:ascii="Arial" w:hAnsi="Arial" w:cs="Arial"/>
          <w:sz w:val="24"/>
          <w:szCs w:val="24"/>
          <w:vertAlign w:val="superscript"/>
        </w:rPr>
        <w:t>7</w:t>
      </w:r>
      <w:r w:rsidRPr="00097241">
        <w:rPr>
          <w:rFonts w:ascii="Arial" w:hAnsi="Arial" w:cs="Arial"/>
          <w:sz w:val="24"/>
          <w:szCs w:val="24"/>
        </w:rPr>
        <w:t>, Maher</w:t>
      </w:r>
      <w:r w:rsidR="002146E8">
        <w:rPr>
          <w:rFonts w:ascii="Arial" w:hAnsi="Arial" w:cs="Arial"/>
          <w:sz w:val="24"/>
          <w:szCs w:val="24"/>
        </w:rPr>
        <w:t xml:space="preserve"> L</w:t>
      </w:r>
      <w:r w:rsidRPr="00097241">
        <w:rPr>
          <w:rFonts w:ascii="Arial" w:hAnsi="Arial" w:cs="Arial"/>
          <w:sz w:val="24"/>
          <w:szCs w:val="24"/>
          <w:vertAlign w:val="superscript"/>
        </w:rPr>
        <w:t>2</w:t>
      </w:r>
      <w:r w:rsidRPr="00097241">
        <w:rPr>
          <w:rFonts w:ascii="Arial" w:hAnsi="Arial" w:cs="Arial"/>
          <w:sz w:val="24"/>
          <w:szCs w:val="24"/>
        </w:rPr>
        <w:t>, Hellard</w:t>
      </w:r>
      <w:r w:rsidR="002146E8">
        <w:rPr>
          <w:rFonts w:ascii="Arial" w:hAnsi="Arial" w:cs="Arial"/>
          <w:sz w:val="24"/>
          <w:szCs w:val="24"/>
        </w:rPr>
        <w:t xml:space="preserve"> M</w:t>
      </w:r>
      <w:r w:rsidRPr="00097241">
        <w:rPr>
          <w:rFonts w:ascii="Arial" w:hAnsi="Arial" w:cs="Arial"/>
          <w:sz w:val="24"/>
          <w:szCs w:val="24"/>
          <w:vertAlign w:val="superscript"/>
        </w:rPr>
        <w:t>9,10,11</w:t>
      </w:r>
      <w:r w:rsidRPr="00097241">
        <w:rPr>
          <w:rFonts w:ascii="Arial" w:hAnsi="Arial" w:cs="Arial"/>
          <w:sz w:val="24"/>
          <w:szCs w:val="24"/>
        </w:rPr>
        <w:t>, Schinkel</w:t>
      </w:r>
      <w:r w:rsidR="002146E8">
        <w:rPr>
          <w:rFonts w:ascii="Arial" w:hAnsi="Arial" w:cs="Arial"/>
          <w:sz w:val="24"/>
          <w:szCs w:val="24"/>
        </w:rPr>
        <w:t xml:space="preserve"> J</w:t>
      </w:r>
      <w:r w:rsidRPr="00097241">
        <w:rPr>
          <w:rFonts w:ascii="Arial" w:hAnsi="Arial" w:cs="Arial"/>
          <w:sz w:val="24"/>
          <w:szCs w:val="24"/>
          <w:vertAlign w:val="superscript"/>
        </w:rPr>
        <w:t>8,12</w:t>
      </w:r>
      <w:r w:rsidRPr="00097241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097241">
        <w:rPr>
          <w:rFonts w:ascii="Arial" w:hAnsi="Arial" w:cs="Arial"/>
          <w:sz w:val="24"/>
          <w:szCs w:val="24"/>
        </w:rPr>
        <w:t>Prins</w:t>
      </w:r>
      <w:proofErr w:type="spellEnd"/>
      <w:r w:rsidR="002146E8">
        <w:rPr>
          <w:rFonts w:ascii="Arial" w:hAnsi="Arial" w:cs="Arial"/>
          <w:sz w:val="24"/>
          <w:szCs w:val="24"/>
        </w:rPr>
        <w:t xml:space="preserve"> M</w:t>
      </w:r>
      <w:r w:rsidRPr="00097241">
        <w:rPr>
          <w:rFonts w:ascii="Arial" w:hAnsi="Arial" w:cs="Arial"/>
          <w:sz w:val="24"/>
          <w:szCs w:val="24"/>
          <w:vertAlign w:val="superscript"/>
        </w:rPr>
        <w:t>8,12</w:t>
      </w:r>
      <w:r w:rsidRPr="00097241">
        <w:rPr>
          <w:rFonts w:ascii="Arial" w:hAnsi="Arial" w:cs="Arial"/>
          <w:sz w:val="24"/>
          <w:szCs w:val="24"/>
        </w:rPr>
        <w:t xml:space="preserve"> </w:t>
      </w:r>
      <w:r w:rsidRPr="00097241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097241">
        <w:rPr>
          <w:rFonts w:ascii="Arial" w:hAnsi="Arial" w:cs="Arial"/>
          <w:sz w:val="24"/>
          <w:szCs w:val="24"/>
        </w:rPr>
        <w:t>and Lloyd</w:t>
      </w:r>
      <w:r w:rsidR="002146E8">
        <w:rPr>
          <w:rFonts w:ascii="Arial" w:hAnsi="Arial" w:cs="Arial"/>
          <w:sz w:val="24"/>
          <w:szCs w:val="24"/>
        </w:rPr>
        <w:t xml:space="preserve"> AR</w:t>
      </w:r>
      <w:r w:rsidRPr="00097241">
        <w:rPr>
          <w:rFonts w:ascii="Arial" w:hAnsi="Arial" w:cs="Arial"/>
          <w:sz w:val="24"/>
          <w:szCs w:val="24"/>
          <w:vertAlign w:val="superscript"/>
        </w:rPr>
        <w:t>1</w:t>
      </w:r>
      <w:r w:rsidRPr="00097241">
        <w:rPr>
          <w:rFonts w:ascii="Arial" w:hAnsi="Arial" w:cs="Arial"/>
          <w:sz w:val="24"/>
          <w:szCs w:val="24"/>
        </w:rPr>
        <w:t xml:space="preserve"> on behalf of the InC</w:t>
      </w:r>
      <w:r w:rsidRPr="00097241">
        <w:rPr>
          <w:rFonts w:ascii="Arial" w:hAnsi="Arial" w:cs="Arial"/>
          <w:sz w:val="24"/>
          <w:szCs w:val="24"/>
          <w:vertAlign w:val="superscript"/>
        </w:rPr>
        <w:t>3</w:t>
      </w:r>
      <w:r w:rsidRPr="00097241">
        <w:rPr>
          <w:rFonts w:ascii="Arial" w:hAnsi="Arial" w:cs="Arial"/>
          <w:sz w:val="24"/>
          <w:szCs w:val="24"/>
        </w:rPr>
        <w:t xml:space="preserve"> Study Group</w:t>
      </w:r>
    </w:p>
    <w:p w:rsidR="00097241" w:rsidRPr="00097241" w:rsidRDefault="00097241" w:rsidP="005A2078">
      <w:pPr>
        <w:rPr>
          <w:rFonts w:ascii="Arial" w:hAnsi="Arial" w:cs="Arial"/>
          <w:b/>
          <w:sz w:val="24"/>
          <w:szCs w:val="24"/>
        </w:rPr>
      </w:pPr>
    </w:p>
    <w:p w:rsidR="00097241" w:rsidRPr="00097241" w:rsidRDefault="00097241" w:rsidP="005A2078">
      <w:pPr>
        <w:rPr>
          <w:rFonts w:ascii="Arial" w:hAnsi="Arial" w:cs="Arial"/>
          <w:sz w:val="24"/>
          <w:szCs w:val="24"/>
        </w:rPr>
      </w:pPr>
      <w:r w:rsidRPr="00097241">
        <w:rPr>
          <w:rFonts w:ascii="Arial" w:hAnsi="Arial" w:cs="Arial"/>
          <w:sz w:val="24"/>
          <w:szCs w:val="24"/>
          <w:vertAlign w:val="superscript"/>
        </w:rPr>
        <w:t>1</w:t>
      </w:r>
      <w:r w:rsidRPr="00097241">
        <w:rPr>
          <w:rFonts w:ascii="Arial" w:hAnsi="Arial" w:cs="Arial"/>
          <w:sz w:val="24"/>
          <w:szCs w:val="24"/>
        </w:rPr>
        <w:t xml:space="preserve">School of Medical Sciences, Faculty of Medicine, UNSW Australia, Sydney, NSW, Australia, </w:t>
      </w:r>
      <w:r w:rsidRPr="00097241">
        <w:rPr>
          <w:rFonts w:ascii="Arial" w:hAnsi="Arial" w:cs="Arial"/>
          <w:sz w:val="24"/>
          <w:szCs w:val="24"/>
          <w:vertAlign w:val="superscript"/>
        </w:rPr>
        <w:t>2</w:t>
      </w:r>
      <w:r w:rsidRPr="00097241">
        <w:rPr>
          <w:rFonts w:ascii="Arial" w:hAnsi="Arial" w:cs="Arial"/>
          <w:sz w:val="24"/>
          <w:szCs w:val="24"/>
        </w:rPr>
        <w:t xml:space="preserve">The Kirby Institute, UNSW Australia , Sydney, NSW, Australia, </w:t>
      </w:r>
      <w:r w:rsidRPr="00097241">
        <w:rPr>
          <w:rFonts w:ascii="Arial" w:hAnsi="Arial" w:cs="Arial"/>
          <w:sz w:val="24"/>
          <w:szCs w:val="24"/>
          <w:vertAlign w:val="superscript"/>
        </w:rPr>
        <w:t>3</w:t>
      </w:r>
      <w:r w:rsidRPr="00097241">
        <w:rPr>
          <w:rFonts w:ascii="Arial" w:hAnsi="Arial" w:cs="Arial"/>
          <w:sz w:val="24"/>
          <w:szCs w:val="24"/>
        </w:rPr>
        <w:t xml:space="preserve">Department of Internal Medicine, University of New Mexico, Albuquerque, NM, USA, </w:t>
      </w:r>
      <w:r w:rsidRPr="00097241">
        <w:rPr>
          <w:rFonts w:ascii="Arial" w:hAnsi="Arial" w:cs="Arial"/>
          <w:sz w:val="24"/>
          <w:szCs w:val="24"/>
          <w:vertAlign w:val="superscript"/>
        </w:rPr>
        <w:t>4</w:t>
      </w:r>
      <w:r w:rsidRPr="00097241">
        <w:rPr>
          <w:rFonts w:ascii="Arial" w:hAnsi="Arial" w:cs="Arial"/>
          <w:sz w:val="24"/>
          <w:szCs w:val="24"/>
        </w:rPr>
        <w:t xml:space="preserve">CRCHUM, </w:t>
      </w:r>
      <w:proofErr w:type="spellStart"/>
      <w:r w:rsidRPr="00097241">
        <w:rPr>
          <w:rFonts w:ascii="Arial" w:hAnsi="Arial" w:cs="Arial"/>
          <w:sz w:val="24"/>
          <w:szCs w:val="24"/>
        </w:rPr>
        <w:t>Université</w:t>
      </w:r>
      <w:proofErr w:type="spellEnd"/>
      <w:r w:rsidRPr="00097241">
        <w:rPr>
          <w:rFonts w:ascii="Arial" w:hAnsi="Arial" w:cs="Arial"/>
          <w:sz w:val="24"/>
          <w:szCs w:val="24"/>
        </w:rPr>
        <w:t xml:space="preserve"> de Montréal, Montreal, QC, Canada, </w:t>
      </w:r>
      <w:r w:rsidRPr="00097241">
        <w:rPr>
          <w:rFonts w:ascii="Arial" w:hAnsi="Arial" w:cs="Arial"/>
          <w:sz w:val="24"/>
          <w:szCs w:val="24"/>
          <w:vertAlign w:val="superscript"/>
        </w:rPr>
        <w:t>5</w:t>
      </w:r>
      <w:r w:rsidRPr="00097241">
        <w:rPr>
          <w:rFonts w:ascii="Arial" w:hAnsi="Arial" w:cs="Arial"/>
          <w:sz w:val="24"/>
          <w:szCs w:val="24"/>
        </w:rPr>
        <w:t xml:space="preserve">Department of Epidemiology and Biostatistics, University of California, San Francisco, San Francisco, CA, USA, </w:t>
      </w:r>
      <w:r w:rsidRPr="00097241">
        <w:rPr>
          <w:rFonts w:ascii="Arial" w:hAnsi="Arial" w:cs="Arial"/>
          <w:sz w:val="24"/>
          <w:szCs w:val="24"/>
          <w:vertAlign w:val="superscript"/>
        </w:rPr>
        <w:t>6</w:t>
      </w:r>
      <w:r w:rsidRPr="00097241">
        <w:rPr>
          <w:rFonts w:ascii="Arial" w:hAnsi="Arial" w:cs="Arial"/>
          <w:sz w:val="24"/>
          <w:szCs w:val="24"/>
        </w:rPr>
        <w:t xml:space="preserve">Department of Medicine, Johns Hopkins Medical Institutions, Baltimore, MD, USA, </w:t>
      </w:r>
      <w:r w:rsidRPr="00097241">
        <w:rPr>
          <w:rFonts w:ascii="Arial" w:hAnsi="Arial" w:cs="Arial"/>
          <w:sz w:val="24"/>
          <w:szCs w:val="24"/>
          <w:vertAlign w:val="superscript"/>
        </w:rPr>
        <w:t>7</w:t>
      </w:r>
      <w:r w:rsidRPr="00097241">
        <w:rPr>
          <w:rFonts w:ascii="Arial" w:hAnsi="Arial" w:cs="Arial"/>
          <w:sz w:val="24"/>
          <w:szCs w:val="24"/>
        </w:rPr>
        <w:t xml:space="preserve">Harvard Medical School, Boston, MA, USA, </w:t>
      </w:r>
      <w:r w:rsidRPr="00097241">
        <w:rPr>
          <w:rFonts w:ascii="Arial" w:hAnsi="Arial" w:cs="Arial"/>
          <w:sz w:val="24"/>
          <w:szCs w:val="24"/>
          <w:vertAlign w:val="superscript"/>
        </w:rPr>
        <w:t>8</w:t>
      </w:r>
      <w:r w:rsidRPr="00097241">
        <w:rPr>
          <w:rFonts w:ascii="Arial" w:hAnsi="Arial" w:cs="Arial"/>
          <w:sz w:val="24"/>
          <w:szCs w:val="24"/>
        </w:rPr>
        <w:t xml:space="preserve">Department of Internal Medicine, Division of Infectious Diseases, Tropical Medicine and AIDS, </w:t>
      </w:r>
      <w:proofErr w:type="spellStart"/>
      <w:r w:rsidRPr="00097241">
        <w:rPr>
          <w:rFonts w:ascii="Arial" w:hAnsi="Arial" w:cs="Arial"/>
          <w:sz w:val="24"/>
          <w:szCs w:val="24"/>
        </w:rPr>
        <w:t>Center</w:t>
      </w:r>
      <w:proofErr w:type="spellEnd"/>
      <w:r w:rsidRPr="00097241">
        <w:rPr>
          <w:rFonts w:ascii="Arial" w:hAnsi="Arial" w:cs="Arial"/>
          <w:sz w:val="24"/>
          <w:szCs w:val="24"/>
        </w:rPr>
        <w:t xml:space="preserve"> for Infection and Immunity Amsterdam, Academic Medical </w:t>
      </w:r>
      <w:proofErr w:type="spellStart"/>
      <w:r w:rsidRPr="00097241">
        <w:rPr>
          <w:rFonts w:ascii="Arial" w:hAnsi="Arial" w:cs="Arial"/>
          <w:sz w:val="24"/>
          <w:szCs w:val="24"/>
        </w:rPr>
        <w:t>Center</w:t>
      </w:r>
      <w:proofErr w:type="spellEnd"/>
      <w:r w:rsidRPr="0009724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97241">
        <w:rPr>
          <w:rFonts w:ascii="Arial" w:hAnsi="Arial" w:cs="Arial"/>
          <w:sz w:val="24"/>
          <w:szCs w:val="24"/>
        </w:rPr>
        <w:t>Meibergdreef</w:t>
      </w:r>
      <w:proofErr w:type="spellEnd"/>
      <w:r w:rsidRPr="00097241">
        <w:rPr>
          <w:rFonts w:ascii="Arial" w:hAnsi="Arial" w:cs="Arial"/>
          <w:sz w:val="24"/>
          <w:szCs w:val="24"/>
        </w:rPr>
        <w:t xml:space="preserve">, Amsterdam, The Netherlands, </w:t>
      </w:r>
      <w:r w:rsidRPr="00097241">
        <w:rPr>
          <w:rFonts w:ascii="Arial" w:hAnsi="Arial" w:cs="Arial"/>
          <w:sz w:val="24"/>
          <w:szCs w:val="24"/>
          <w:vertAlign w:val="superscript"/>
        </w:rPr>
        <w:t>9</w:t>
      </w:r>
      <w:r w:rsidRPr="00097241">
        <w:rPr>
          <w:rFonts w:ascii="Arial" w:hAnsi="Arial" w:cs="Arial"/>
          <w:sz w:val="24"/>
          <w:szCs w:val="24"/>
        </w:rPr>
        <w:t xml:space="preserve">Burnet Institute, Melbourne, VIC, Australia, </w:t>
      </w:r>
      <w:r w:rsidRPr="00097241">
        <w:rPr>
          <w:rFonts w:ascii="Arial" w:hAnsi="Arial" w:cs="Arial"/>
          <w:sz w:val="24"/>
          <w:szCs w:val="24"/>
          <w:vertAlign w:val="superscript"/>
        </w:rPr>
        <w:t>10</w:t>
      </w:r>
      <w:r w:rsidRPr="00097241">
        <w:rPr>
          <w:rFonts w:ascii="Arial" w:hAnsi="Arial" w:cs="Arial"/>
          <w:sz w:val="24"/>
          <w:szCs w:val="24"/>
        </w:rPr>
        <w:t xml:space="preserve">Alfred Hospital, Department of Infectious Diseases, Melbourne, Australia, </w:t>
      </w:r>
      <w:r w:rsidRPr="00097241">
        <w:rPr>
          <w:rFonts w:ascii="Arial" w:hAnsi="Arial" w:cs="Arial"/>
          <w:sz w:val="24"/>
          <w:szCs w:val="24"/>
          <w:vertAlign w:val="superscript"/>
        </w:rPr>
        <w:t>11</w:t>
      </w:r>
      <w:r w:rsidRPr="00097241">
        <w:rPr>
          <w:rFonts w:ascii="Arial" w:hAnsi="Arial" w:cs="Arial"/>
          <w:sz w:val="24"/>
          <w:szCs w:val="24"/>
        </w:rPr>
        <w:t xml:space="preserve">Department of Epidemiology and Preventive Medicine, Monash University, Australia, </w:t>
      </w:r>
      <w:r w:rsidRPr="00097241">
        <w:rPr>
          <w:rFonts w:ascii="Arial" w:hAnsi="Arial" w:cs="Arial"/>
          <w:sz w:val="24"/>
          <w:szCs w:val="24"/>
          <w:vertAlign w:val="superscript"/>
        </w:rPr>
        <w:t>12</w:t>
      </w:r>
      <w:r w:rsidRPr="00097241">
        <w:rPr>
          <w:rFonts w:ascii="Arial" w:hAnsi="Arial" w:cs="Arial"/>
          <w:sz w:val="24"/>
          <w:szCs w:val="24"/>
        </w:rPr>
        <w:t>GGD Public Health Service of Amsterdam, Amsterdam, The Netherlands</w:t>
      </w:r>
    </w:p>
    <w:p w:rsidR="00681B4C" w:rsidRPr="00380F9A" w:rsidRDefault="005A2078" w:rsidP="005A2078">
      <w:pPr>
        <w:pStyle w:val="Standard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br/>
      </w:r>
      <w:r w:rsidR="001F7656" w:rsidRPr="00380F9A">
        <w:rPr>
          <w:rFonts w:ascii="Arial" w:hAnsi="Arial" w:cs="Arial"/>
          <w:b/>
          <w:sz w:val="24"/>
          <w:szCs w:val="24"/>
          <w:lang w:val="en-US"/>
        </w:rPr>
        <w:t xml:space="preserve">Background: </w:t>
      </w:r>
      <w:r w:rsidR="00380F9A" w:rsidRPr="00380F9A">
        <w:rPr>
          <w:rFonts w:ascii="Arial" w:hAnsi="Arial" w:cs="Arial"/>
          <w:sz w:val="24"/>
          <w:szCs w:val="24"/>
        </w:rPr>
        <w:t xml:space="preserve">The molecular epidemiology of hepatitis C virus (HCV) infection has typically been studied in individual countries worldwide, however little is known about </w:t>
      </w:r>
      <w:r w:rsidR="005039EE">
        <w:rPr>
          <w:rFonts w:ascii="Arial" w:hAnsi="Arial" w:cs="Arial"/>
          <w:sz w:val="24"/>
          <w:szCs w:val="24"/>
        </w:rPr>
        <w:t>cross-continental</w:t>
      </w:r>
      <w:r w:rsidR="00380F9A" w:rsidRPr="00380F9A">
        <w:rPr>
          <w:rFonts w:ascii="Arial" w:hAnsi="Arial" w:cs="Arial"/>
          <w:sz w:val="24"/>
          <w:szCs w:val="24"/>
        </w:rPr>
        <w:t xml:space="preserve"> patterns and about the characteristics of the viruses associated with incident infection.  </w:t>
      </w:r>
    </w:p>
    <w:p w:rsidR="005A2078" w:rsidRDefault="005A2078" w:rsidP="005A2078">
      <w:pPr>
        <w:pStyle w:val="Standard"/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87195B" w:rsidRPr="00380F9A" w:rsidRDefault="00380F9A" w:rsidP="005A2078">
      <w:pPr>
        <w:pStyle w:val="Standard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</w:t>
      </w:r>
      <w:r w:rsidR="001F7656" w:rsidRPr="00380F9A">
        <w:rPr>
          <w:rFonts w:ascii="Arial" w:hAnsi="Arial" w:cs="Arial"/>
          <w:b/>
          <w:sz w:val="24"/>
          <w:szCs w:val="24"/>
          <w:lang w:val="en-US"/>
        </w:rPr>
        <w:t xml:space="preserve">ethods: </w:t>
      </w:r>
      <w:r w:rsidR="00681B4C" w:rsidRPr="00380F9A">
        <w:rPr>
          <w:rFonts w:ascii="Arial" w:hAnsi="Arial" w:cs="Arial"/>
          <w:sz w:val="24"/>
          <w:szCs w:val="24"/>
        </w:rPr>
        <w:t xml:space="preserve">The International </w:t>
      </w:r>
      <w:r w:rsidR="005039EE">
        <w:rPr>
          <w:rFonts w:ascii="Arial" w:hAnsi="Arial" w:cs="Arial"/>
          <w:sz w:val="24"/>
          <w:szCs w:val="24"/>
        </w:rPr>
        <w:t>collaborative</w:t>
      </w:r>
      <w:r w:rsidR="00681B4C" w:rsidRPr="00380F9A">
        <w:rPr>
          <w:rFonts w:ascii="Arial" w:hAnsi="Arial" w:cs="Arial"/>
          <w:sz w:val="24"/>
          <w:szCs w:val="24"/>
        </w:rPr>
        <w:t xml:space="preserve"> of Incident HIV and Hepatitis C</w:t>
      </w:r>
      <w:r w:rsidR="009B4484" w:rsidRPr="00380F9A">
        <w:rPr>
          <w:rFonts w:ascii="Arial" w:hAnsi="Arial" w:cs="Arial"/>
          <w:sz w:val="24"/>
          <w:szCs w:val="24"/>
        </w:rPr>
        <w:t xml:space="preserve"> </w:t>
      </w:r>
      <w:r w:rsidR="00681B4C" w:rsidRPr="00380F9A">
        <w:rPr>
          <w:rFonts w:ascii="Arial" w:hAnsi="Arial" w:cs="Arial"/>
          <w:sz w:val="24"/>
          <w:szCs w:val="24"/>
        </w:rPr>
        <w:t xml:space="preserve">in Injecting Cohorts </w:t>
      </w:r>
      <w:r w:rsidR="005039EE">
        <w:rPr>
          <w:rFonts w:ascii="Arial" w:hAnsi="Arial" w:cs="Arial"/>
          <w:sz w:val="24"/>
          <w:szCs w:val="24"/>
        </w:rPr>
        <w:t xml:space="preserve">(InC3) </w:t>
      </w:r>
      <w:r w:rsidR="00681B4C" w:rsidRPr="00380F9A">
        <w:rPr>
          <w:rFonts w:ascii="Arial" w:hAnsi="Arial" w:cs="Arial"/>
          <w:sz w:val="24"/>
          <w:szCs w:val="24"/>
        </w:rPr>
        <w:t xml:space="preserve">is a collaboration of nine well characterized prospective cohorts on injecting drug </w:t>
      </w:r>
      <w:r w:rsidR="00D61438" w:rsidRPr="00380F9A">
        <w:rPr>
          <w:rFonts w:ascii="Arial" w:hAnsi="Arial" w:cs="Arial"/>
          <w:sz w:val="24"/>
          <w:szCs w:val="24"/>
        </w:rPr>
        <w:t xml:space="preserve">users. </w:t>
      </w:r>
      <w:r w:rsidR="00681B4C" w:rsidRPr="00380F9A">
        <w:rPr>
          <w:rFonts w:ascii="Arial" w:hAnsi="Arial" w:cs="Arial"/>
          <w:sz w:val="24"/>
          <w:szCs w:val="24"/>
        </w:rPr>
        <w:t>The sample repository of InC3 collaboration was searched to find all samples within 180 days of infection.</w:t>
      </w:r>
      <w:r w:rsidR="005039EE">
        <w:rPr>
          <w:rFonts w:ascii="Arial" w:hAnsi="Arial" w:cs="Arial"/>
          <w:sz w:val="24"/>
          <w:szCs w:val="24"/>
        </w:rPr>
        <w:t>A</w:t>
      </w:r>
      <w:r w:rsidR="00681B4C" w:rsidRPr="00380F9A">
        <w:rPr>
          <w:rFonts w:ascii="Arial" w:hAnsi="Arial" w:cs="Arial"/>
          <w:sz w:val="24"/>
          <w:szCs w:val="24"/>
        </w:rPr>
        <w:t>n optimized laboratory pipeline</w:t>
      </w:r>
      <w:r w:rsidR="005039EE">
        <w:rPr>
          <w:rFonts w:ascii="Arial" w:hAnsi="Arial" w:cs="Arial"/>
          <w:sz w:val="24"/>
          <w:szCs w:val="24"/>
        </w:rPr>
        <w:t xml:space="preserve"> was used</w:t>
      </w:r>
      <w:r w:rsidR="00681B4C" w:rsidRPr="00380F9A">
        <w:rPr>
          <w:rFonts w:ascii="Arial" w:hAnsi="Arial" w:cs="Arial"/>
          <w:sz w:val="24"/>
          <w:szCs w:val="24"/>
        </w:rPr>
        <w:t xml:space="preserve"> </w:t>
      </w:r>
      <w:r w:rsidR="000C0722" w:rsidRPr="00380F9A">
        <w:rPr>
          <w:rFonts w:ascii="Arial" w:hAnsi="Arial" w:cs="Arial"/>
          <w:sz w:val="24"/>
          <w:szCs w:val="24"/>
        </w:rPr>
        <w:t xml:space="preserve">to generate full-length HCV sequences </w:t>
      </w:r>
      <w:r w:rsidR="005039EE">
        <w:rPr>
          <w:rFonts w:ascii="Arial" w:hAnsi="Arial" w:cs="Arial"/>
          <w:sz w:val="24"/>
          <w:szCs w:val="24"/>
        </w:rPr>
        <w:t>by</w:t>
      </w:r>
      <w:r w:rsidR="000C0722" w:rsidRPr="00380F9A">
        <w:rPr>
          <w:rFonts w:ascii="Arial" w:hAnsi="Arial" w:cs="Arial"/>
          <w:sz w:val="24"/>
          <w:szCs w:val="24"/>
        </w:rPr>
        <w:t xml:space="preserve"> next generation sequencing</w:t>
      </w:r>
      <w:r w:rsidR="00681B4C" w:rsidRPr="00380F9A">
        <w:rPr>
          <w:rFonts w:ascii="Arial" w:hAnsi="Arial" w:cs="Arial"/>
          <w:sz w:val="24"/>
          <w:szCs w:val="24"/>
        </w:rPr>
        <w:t>. The output of was analysed with a bioinformatics pipeline to generate consensus sequences</w:t>
      </w:r>
      <w:r>
        <w:rPr>
          <w:rFonts w:ascii="Arial" w:hAnsi="Arial" w:cs="Arial"/>
          <w:sz w:val="24"/>
          <w:szCs w:val="24"/>
        </w:rPr>
        <w:t xml:space="preserve"> and these</w:t>
      </w:r>
      <w:r w:rsidR="00D61438" w:rsidRPr="00380F9A">
        <w:rPr>
          <w:rFonts w:ascii="Arial" w:hAnsi="Arial" w:cs="Arial"/>
          <w:sz w:val="24"/>
          <w:szCs w:val="24"/>
        </w:rPr>
        <w:t xml:space="preserve"> were used in phylogenetic analysis to understand the cross-continental molecular epidemiology of early HCV infection and the demographic / behavioural associations with clustering. </w:t>
      </w:r>
    </w:p>
    <w:p w:rsidR="00097241" w:rsidRDefault="00097241" w:rsidP="005A2078">
      <w:pPr>
        <w:pStyle w:val="Standard"/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380F9A" w:rsidRDefault="001F7656" w:rsidP="005A2078">
      <w:pPr>
        <w:pStyle w:val="Standard"/>
        <w:spacing w:after="0"/>
        <w:rPr>
          <w:rFonts w:ascii="Arial" w:hAnsi="Arial" w:cs="Arial"/>
          <w:sz w:val="24"/>
          <w:szCs w:val="24"/>
        </w:rPr>
      </w:pPr>
      <w:r w:rsidRPr="00380F9A">
        <w:rPr>
          <w:rFonts w:ascii="Arial" w:hAnsi="Arial" w:cs="Arial"/>
          <w:b/>
          <w:sz w:val="24"/>
          <w:szCs w:val="24"/>
          <w:lang w:val="en-US"/>
        </w:rPr>
        <w:t xml:space="preserve">Results: </w:t>
      </w:r>
      <w:r w:rsidR="00D61438" w:rsidRPr="00380F9A">
        <w:rPr>
          <w:rFonts w:ascii="Arial" w:hAnsi="Arial" w:cs="Arial"/>
          <w:sz w:val="24"/>
          <w:szCs w:val="24"/>
        </w:rPr>
        <w:t xml:space="preserve">The cohorts were from three continents: North America (n=4), Australia (n=4) and Europe (n=1). One hundred and ninety full-length HCV genomes were amplified. Genomes from the most common subtypes (1a: n=94, 2b: n=15 and 3a: n=68) were used in </w:t>
      </w:r>
      <w:r w:rsidR="00380F9A">
        <w:rPr>
          <w:rFonts w:ascii="Arial" w:hAnsi="Arial" w:cs="Arial"/>
          <w:sz w:val="24"/>
          <w:szCs w:val="24"/>
        </w:rPr>
        <w:t xml:space="preserve">maximum likelihood </w:t>
      </w:r>
      <w:r w:rsidR="00D61438" w:rsidRPr="00380F9A">
        <w:rPr>
          <w:rFonts w:ascii="Arial" w:hAnsi="Arial" w:cs="Arial"/>
          <w:sz w:val="24"/>
          <w:szCs w:val="24"/>
        </w:rPr>
        <w:t xml:space="preserve">phylogenetic analysis to identify clusters of molecularly related sequences. Using full genome trees, 78 sequences (44%) were found to lie within 29 phylogenetic clusters/pairs (mean patristic distance cut-off; 0.01%, 95% bootstrap support). Of these, 13 each had exclusively Australian and North American sequences.  </w:t>
      </w:r>
      <w:r w:rsidR="005039EE">
        <w:rPr>
          <w:rFonts w:ascii="Arial" w:hAnsi="Arial" w:cs="Arial"/>
          <w:sz w:val="24"/>
          <w:szCs w:val="24"/>
        </w:rPr>
        <w:t>O</w:t>
      </w:r>
      <w:r w:rsidR="00D61438" w:rsidRPr="00380F9A">
        <w:rPr>
          <w:rFonts w:ascii="Arial" w:hAnsi="Arial" w:cs="Arial"/>
          <w:sz w:val="24"/>
          <w:szCs w:val="24"/>
        </w:rPr>
        <w:t xml:space="preserve">lder age, non-Caucasian ethnicity, Australian origin, and current imprisonment were significantly associated with clustering in bivariate analysis, and the first two associations remained statistically significant after binary logistic regression analysis. </w:t>
      </w:r>
    </w:p>
    <w:p w:rsidR="00097241" w:rsidRDefault="00097241" w:rsidP="005A2078">
      <w:pPr>
        <w:pStyle w:val="Standard"/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097241" w:rsidRDefault="001F7656" w:rsidP="005A2078">
      <w:pPr>
        <w:pStyle w:val="Standard"/>
        <w:spacing w:after="0"/>
        <w:rPr>
          <w:rFonts w:ascii="Arial" w:hAnsi="Arial" w:cs="Arial"/>
          <w:sz w:val="24"/>
          <w:szCs w:val="24"/>
          <w:lang w:val="en-US"/>
        </w:rPr>
      </w:pPr>
      <w:r w:rsidRPr="00380F9A">
        <w:rPr>
          <w:rFonts w:ascii="Arial" w:hAnsi="Arial" w:cs="Arial"/>
          <w:b/>
          <w:sz w:val="24"/>
          <w:szCs w:val="24"/>
          <w:lang w:val="en-US"/>
        </w:rPr>
        <w:t xml:space="preserve">Conclusions: </w:t>
      </w:r>
      <w:r w:rsidR="00D61438" w:rsidRPr="00380F9A">
        <w:rPr>
          <w:rFonts w:ascii="Arial" w:hAnsi="Arial" w:cs="Arial"/>
          <w:sz w:val="24"/>
          <w:szCs w:val="24"/>
        </w:rPr>
        <w:t>We have established</w:t>
      </w:r>
      <w:r w:rsidR="00681B4C" w:rsidRPr="00380F9A">
        <w:rPr>
          <w:rFonts w:ascii="Arial" w:hAnsi="Arial" w:cs="Arial"/>
          <w:sz w:val="24"/>
          <w:szCs w:val="24"/>
        </w:rPr>
        <w:t xml:space="preserve"> the largest, international, </w:t>
      </w:r>
      <w:r w:rsidR="005039EE">
        <w:rPr>
          <w:rFonts w:ascii="Arial" w:hAnsi="Arial" w:cs="Arial"/>
          <w:sz w:val="24"/>
          <w:szCs w:val="24"/>
        </w:rPr>
        <w:t>acute</w:t>
      </w:r>
      <w:r w:rsidR="00681B4C" w:rsidRPr="00380F9A">
        <w:rPr>
          <w:rFonts w:ascii="Arial" w:hAnsi="Arial" w:cs="Arial"/>
          <w:sz w:val="24"/>
          <w:szCs w:val="24"/>
        </w:rPr>
        <w:t xml:space="preserve"> HCV genomic data repository available to-date worldwide. </w:t>
      </w:r>
      <w:r w:rsidR="00D61438" w:rsidRPr="00380F9A">
        <w:rPr>
          <w:rFonts w:ascii="Arial" w:hAnsi="Arial" w:cs="Arial"/>
          <w:sz w:val="24"/>
          <w:szCs w:val="24"/>
        </w:rPr>
        <w:t>In the phylogenetic analysis of these sequences clustering was evident almost exclusively within-continents. This suggests that HCV evolves in micro-epidemics within geographically isolated communities</w:t>
      </w:r>
      <w:r w:rsidR="00380F9A" w:rsidRPr="00380F9A">
        <w:rPr>
          <w:rFonts w:ascii="Arial" w:hAnsi="Arial" w:cs="Arial"/>
          <w:sz w:val="24"/>
          <w:szCs w:val="24"/>
        </w:rPr>
        <w:t xml:space="preserve"> and this can have</w:t>
      </w:r>
      <w:r w:rsidR="00380F9A">
        <w:rPr>
          <w:rFonts w:ascii="Arial" w:hAnsi="Arial" w:cs="Arial"/>
          <w:sz w:val="24"/>
          <w:szCs w:val="24"/>
        </w:rPr>
        <w:t xml:space="preserve"> </w:t>
      </w:r>
      <w:r w:rsidR="00380F9A" w:rsidRPr="00380F9A">
        <w:rPr>
          <w:rFonts w:ascii="Arial" w:hAnsi="Arial" w:cs="Arial"/>
          <w:sz w:val="24"/>
          <w:szCs w:val="24"/>
        </w:rPr>
        <w:t>implicatons for a universal vaccine</w:t>
      </w:r>
      <w:r w:rsidR="00D61438" w:rsidRPr="00380F9A">
        <w:rPr>
          <w:rFonts w:ascii="Arial" w:hAnsi="Arial" w:cs="Arial"/>
          <w:sz w:val="24"/>
          <w:szCs w:val="24"/>
        </w:rPr>
        <w:t xml:space="preserve">.  </w:t>
      </w:r>
    </w:p>
    <w:p w:rsidR="00097241" w:rsidRPr="00097241" w:rsidRDefault="00097241" w:rsidP="005A2078">
      <w:pPr>
        <w:rPr>
          <w:lang w:val="en-US" w:eastAsia="en-US"/>
        </w:rPr>
      </w:pPr>
    </w:p>
    <w:p w:rsidR="0087195B" w:rsidRPr="00097241" w:rsidRDefault="002146E8" w:rsidP="005A2078">
      <w:pPr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b/>
          <w:sz w:val="24"/>
          <w:szCs w:val="24"/>
          <w:lang w:val="en-US" w:eastAsia="en-US"/>
        </w:rPr>
        <w:t>Disclosure statement</w:t>
      </w:r>
      <w:r w:rsidR="00097241" w:rsidRPr="00097241">
        <w:rPr>
          <w:rFonts w:ascii="Arial" w:hAnsi="Arial" w:cs="Arial"/>
          <w:b/>
          <w:sz w:val="24"/>
          <w:szCs w:val="24"/>
          <w:lang w:val="en-US" w:eastAsia="en-US"/>
        </w:rPr>
        <w:t>:</w:t>
      </w:r>
      <w:r w:rsidR="00097241" w:rsidRPr="00097241">
        <w:rPr>
          <w:rFonts w:ascii="Arial" w:hAnsi="Arial" w:cs="Arial"/>
          <w:sz w:val="24"/>
          <w:szCs w:val="24"/>
          <w:lang w:val="en-US" w:eastAsia="en-US"/>
        </w:rPr>
        <w:t xml:space="preserve"> The authors have no conflicts of interest to declare</w:t>
      </w:r>
    </w:p>
    <w:p w:rsidR="005A2078" w:rsidRPr="00097241" w:rsidRDefault="005A2078">
      <w:pPr>
        <w:rPr>
          <w:rFonts w:ascii="Arial" w:hAnsi="Arial" w:cs="Arial"/>
          <w:sz w:val="24"/>
          <w:szCs w:val="24"/>
          <w:lang w:val="en-US" w:eastAsia="en-US"/>
        </w:rPr>
      </w:pPr>
    </w:p>
    <w:sectPr w:rsidR="005A2078" w:rsidRPr="00097241" w:rsidSect="005A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8E9"/>
    <w:rsid w:val="00097241"/>
    <w:rsid w:val="000C0722"/>
    <w:rsid w:val="001C7B1A"/>
    <w:rsid w:val="001F7656"/>
    <w:rsid w:val="002146E8"/>
    <w:rsid w:val="00380F9A"/>
    <w:rsid w:val="004E4ACA"/>
    <w:rsid w:val="005039EE"/>
    <w:rsid w:val="005A2078"/>
    <w:rsid w:val="005D37F3"/>
    <w:rsid w:val="00681B4C"/>
    <w:rsid w:val="006D40D8"/>
    <w:rsid w:val="007C18BC"/>
    <w:rsid w:val="008F5B66"/>
    <w:rsid w:val="009354BE"/>
    <w:rsid w:val="009B4484"/>
    <w:rsid w:val="00A82742"/>
    <w:rsid w:val="00BC08E9"/>
    <w:rsid w:val="00BC5596"/>
    <w:rsid w:val="00D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6D40D8"/>
    <w:pPr>
      <w:spacing w:after="200" w:line="276" w:lineRule="auto"/>
    </w:pPr>
    <w:rPr>
      <w:sz w:val="22"/>
      <w:szCs w:val="22"/>
      <w:lang w:val="de-DE" w:eastAsia="en-US"/>
    </w:rPr>
  </w:style>
  <w:style w:type="character" w:customStyle="1" w:styleId="Absatz-Standardschriftart">
    <w:name w:val="Absatz-Standardschriftart"/>
    <w:uiPriority w:val="1"/>
    <w:semiHidden/>
    <w:unhideWhenUsed/>
    <w:rsid w:val="006D40D8"/>
  </w:style>
  <w:style w:type="table" w:customStyle="1" w:styleId="NormaleTabelle">
    <w:name w:val="Normale Tabelle"/>
    <w:uiPriority w:val="99"/>
    <w:semiHidden/>
    <w:unhideWhenUsed/>
    <w:rsid w:val="006D40D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">
    <w:name w:val="Keine Liste"/>
    <w:uiPriority w:val="99"/>
    <w:semiHidden/>
    <w:unhideWhenUsed/>
    <w:rsid w:val="006D40D8"/>
  </w:style>
  <w:style w:type="character" w:styleId="Hyperlink">
    <w:name w:val="Hyperlink"/>
    <w:basedOn w:val="DefaultParagraphFont"/>
    <w:uiPriority w:val="99"/>
    <w:unhideWhenUsed/>
    <w:rsid w:val="00097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F24F08-C110-489B-BA77-50304E9B3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59877-9975-4760-B6FD-3301A952A724}"/>
</file>

<file path=customXml/itemProps3.xml><?xml version="1.0" encoding="utf-8"?>
<ds:datastoreItem xmlns:ds="http://schemas.openxmlformats.org/officeDocument/2006/customXml" ds:itemID="{FBB7A6E9-46FE-4B8A-B5C8-7A7116D780F4}"/>
</file>

<file path=customXml/itemProps4.xml><?xml version="1.0" encoding="utf-8"?>
<ds:datastoreItem xmlns:ds="http://schemas.openxmlformats.org/officeDocument/2006/customXml" ds:itemID="{35A50A96-9EFB-4C64-818F-7C384208A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Australasian Society for HIV Medicine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Wöhrle</dc:creator>
  <cp:lastModifiedBy>Rini Das</cp:lastModifiedBy>
  <cp:revision>5</cp:revision>
  <cp:lastPrinted>2016-03-15T03:31:00Z</cp:lastPrinted>
  <dcterms:created xsi:type="dcterms:W3CDTF">2016-03-11T12:46:00Z</dcterms:created>
  <dcterms:modified xsi:type="dcterms:W3CDTF">2016-03-15T03:31:00Z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08b1b7e4-59af-49f5-ada9-5f8a7df79b31</vt:lpwstr>
  </property>
  <property fmtid="{D5CDD505-2E9C-101B-9397-08002B2CF9AE}" pid="3" name="ContentTypeId">
    <vt:lpwstr>0x0101001FA7DB0AE960954B9ABC128B05AD7AF3</vt:lpwstr>
  </property>
</Properties>
</file>